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DF17A" w14:textId="0C8C2EA1" w:rsidR="008D7D7E" w:rsidRPr="00627C6A" w:rsidRDefault="008D7D7E" w:rsidP="00647B22">
      <w:pPr>
        <w:tabs>
          <w:tab w:val="center" w:pos="8364"/>
        </w:tabs>
        <w:spacing w:after="0" w:line="240" w:lineRule="auto"/>
        <w:ind w:left="270" w:right="-138" w:hanging="270"/>
        <w:rPr>
          <w:rFonts w:ascii="Arial" w:eastAsia="Traditional Arabic" w:hAnsi="Arial" w:cs="Arial"/>
          <w:color w:val="000000" w:themeColor="text1"/>
          <w:sz w:val="20"/>
          <w:szCs w:val="20"/>
        </w:rPr>
      </w:pPr>
      <w:bookmarkStart w:id="0" w:name="_Hlk184895448"/>
      <w:r w:rsidRPr="009A2840">
        <w:rPr>
          <w:rFonts w:ascii="Arial" w:eastAsia="Traditional Arabic" w:hAnsi="Arial" w:cs="Arial"/>
          <w:color w:val="000000" w:themeColor="text1"/>
          <w:sz w:val="20"/>
          <w:szCs w:val="20"/>
        </w:rPr>
        <w:t>Standing Committee</w:t>
      </w:r>
      <w:r w:rsidRPr="00627C6A">
        <w:rPr>
          <w:rFonts w:ascii="Arial" w:eastAsia="Traditional Arabic" w:hAnsi="Arial" w:cs="Arial"/>
          <w:color w:val="000000" w:themeColor="text1"/>
          <w:sz w:val="20"/>
          <w:szCs w:val="20"/>
        </w:rPr>
        <w:t xml:space="preserve"> on </w:t>
      </w:r>
      <w:r w:rsidRPr="00627C6A">
        <w:rPr>
          <w:rFonts w:ascii="Arial" w:eastAsia="Traditional Arabic" w:hAnsi="Arial" w:cs="Arial"/>
          <w:color w:val="000000" w:themeColor="text1"/>
          <w:sz w:val="20"/>
          <w:szCs w:val="20"/>
        </w:rPr>
        <w:tab/>
      </w:r>
      <w:r w:rsidR="009A2840" w:rsidRPr="009A2840">
        <w:rPr>
          <w:rFonts w:ascii="Arial" w:eastAsia="Traditional Arabic" w:hAnsi="Arial" w:cs="Arial"/>
          <w:color w:val="000000" w:themeColor="text1"/>
          <w:sz w:val="20"/>
          <w:szCs w:val="20"/>
        </w:rPr>
        <w:t>C-I/</w:t>
      </w:r>
      <w:r w:rsidR="00A674B5">
        <w:rPr>
          <w:rFonts w:ascii="Arial" w:eastAsia="Traditional Arabic" w:hAnsi="Arial" w:cs="Arial"/>
          <w:color w:val="000000" w:themeColor="text1"/>
          <w:sz w:val="20"/>
          <w:szCs w:val="20"/>
        </w:rPr>
        <w:t>150</w:t>
      </w:r>
      <w:r w:rsidR="009A2840" w:rsidRPr="009A2840">
        <w:rPr>
          <w:rFonts w:ascii="Arial" w:eastAsia="Traditional Arabic" w:hAnsi="Arial" w:cs="Arial"/>
          <w:color w:val="000000" w:themeColor="text1"/>
          <w:sz w:val="20"/>
          <w:szCs w:val="20"/>
        </w:rPr>
        <w:t>/DR</w:t>
      </w:r>
    </w:p>
    <w:p w14:paraId="58E5DAEB" w14:textId="585EF99D" w:rsidR="008D7D7E" w:rsidRPr="00593A06" w:rsidRDefault="008D7D7E" w:rsidP="00647B22">
      <w:pPr>
        <w:tabs>
          <w:tab w:val="center" w:pos="8595"/>
        </w:tabs>
        <w:spacing w:after="0" w:line="240" w:lineRule="auto"/>
        <w:ind w:left="270" w:right="-421" w:hanging="270"/>
        <w:rPr>
          <w:rFonts w:ascii="Arial" w:eastAsia="Traditional Arabic" w:hAnsi="Arial" w:cs="Arial"/>
          <w:color w:val="000000" w:themeColor="text1"/>
          <w:sz w:val="20"/>
          <w:szCs w:val="20"/>
        </w:rPr>
      </w:pPr>
      <w:r>
        <w:rPr>
          <w:rFonts w:ascii="Arial" w:eastAsia="Traditional Arabic" w:hAnsi="Arial" w:cs="Arial"/>
          <w:color w:val="000000" w:themeColor="text1"/>
          <w:sz w:val="20"/>
          <w:szCs w:val="20"/>
        </w:rPr>
        <w:t xml:space="preserve">Peace </w:t>
      </w:r>
      <w:r w:rsidR="00275841">
        <w:rPr>
          <w:rFonts w:ascii="Arial" w:eastAsia="Traditional Arabic" w:hAnsi="Arial" w:cs="Arial"/>
          <w:color w:val="000000" w:themeColor="text1"/>
          <w:sz w:val="20"/>
          <w:szCs w:val="20"/>
        </w:rPr>
        <w:t xml:space="preserve">and </w:t>
      </w:r>
      <w:r>
        <w:rPr>
          <w:rFonts w:ascii="Arial" w:eastAsia="Traditional Arabic" w:hAnsi="Arial" w:cs="Arial"/>
          <w:color w:val="000000" w:themeColor="text1"/>
          <w:sz w:val="20"/>
          <w:szCs w:val="20"/>
        </w:rPr>
        <w:t>International Security</w:t>
      </w:r>
      <w:r w:rsidRPr="00627C6A">
        <w:rPr>
          <w:rFonts w:ascii="Arial" w:eastAsia="Traditional Arabic" w:hAnsi="Arial" w:cs="Arial"/>
          <w:color w:val="000000" w:themeColor="text1"/>
          <w:sz w:val="20"/>
          <w:szCs w:val="20"/>
        </w:rPr>
        <w:t xml:space="preserve"> </w:t>
      </w:r>
      <w:r w:rsidRPr="00627C6A">
        <w:rPr>
          <w:rFonts w:ascii="Arial" w:eastAsia="Traditional Arabic" w:hAnsi="Arial" w:cs="Arial"/>
          <w:color w:val="000000" w:themeColor="text1"/>
          <w:sz w:val="20"/>
          <w:szCs w:val="20"/>
        </w:rPr>
        <w:tab/>
      </w:r>
      <w:r w:rsidR="00EE69AA">
        <w:rPr>
          <w:rFonts w:ascii="Arial" w:eastAsia="Traditional Arabic" w:hAnsi="Arial" w:cs="Arial"/>
          <w:color w:val="000000" w:themeColor="text1"/>
          <w:sz w:val="20"/>
          <w:szCs w:val="20"/>
        </w:rPr>
        <w:t>13</w:t>
      </w:r>
      <w:r w:rsidRPr="00627C6A">
        <w:rPr>
          <w:rFonts w:ascii="Arial" w:eastAsia="Traditional Arabic" w:hAnsi="Arial" w:cs="Arial"/>
          <w:color w:val="000000" w:themeColor="text1"/>
          <w:sz w:val="20"/>
          <w:szCs w:val="20"/>
        </w:rPr>
        <w:t xml:space="preserve"> January 2025</w:t>
      </w:r>
    </w:p>
    <w:p w14:paraId="6A2E2E3A" w14:textId="77777777" w:rsidR="008D7D7E" w:rsidRPr="004F6AAB" w:rsidRDefault="008D7D7E" w:rsidP="00647B22">
      <w:pPr>
        <w:spacing w:after="0" w:line="240" w:lineRule="auto"/>
        <w:rPr>
          <w:rFonts w:ascii="Arial" w:hAnsi="Arial" w:cs="Arial"/>
          <w:color w:val="0070C0"/>
          <w:sz w:val="20"/>
          <w:szCs w:val="20"/>
        </w:rPr>
      </w:pPr>
    </w:p>
    <w:p w14:paraId="4E7D1BAB" w14:textId="71335235" w:rsidR="00D17A5C" w:rsidRPr="0039054A" w:rsidRDefault="00D17A5C" w:rsidP="00647B22">
      <w:pPr>
        <w:spacing w:after="0" w:line="240" w:lineRule="auto"/>
        <w:jc w:val="center"/>
        <w:rPr>
          <w:rFonts w:ascii="Arial" w:hAnsi="Arial" w:cs="Arial"/>
          <w:b/>
          <w:color w:val="005F9A"/>
          <w:sz w:val="36"/>
          <w:szCs w:val="36"/>
        </w:rPr>
      </w:pPr>
      <w:r w:rsidRPr="0039054A">
        <w:rPr>
          <w:rFonts w:ascii="Arial" w:hAnsi="Arial" w:cs="Arial"/>
          <w:b/>
          <w:color w:val="005F9A"/>
          <w:sz w:val="36"/>
          <w:szCs w:val="36"/>
        </w:rPr>
        <w:t>The role of parliaments in advancing</w:t>
      </w:r>
    </w:p>
    <w:p w14:paraId="124D3745" w14:textId="58E5B563" w:rsidR="00C737D6" w:rsidRPr="0039054A" w:rsidRDefault="00D17A5C" w:rsidP="00647B22">
      <w:pPr>
        <w:spacing w:after="0" w:line="240" w:lineRule="auto"/>
        <w:jc w:val="center"/>
        <w:rPr>
          <w:rFonts w:ascii="Arial" w:hAnsi="Arial" w:cs="Arial"/>
          <w:b/>
          <w:bCs/>
          <w:color w:val="005F9A"/>
          <w:sz w:val="36"/>
          <w:szCs w:val="36"/>
        </w:rPr>
      </w:pPr>
      <w:r w:rsidRPr="0039054A">
        <w:rPr>
          <w:rFonts w:ascii="Arial" w:hAnsi="Arial" w:cs="Arial"/>
          <w:b/>
          <w:color w:val="005F9A"/>
          <w:sz w:val="36"/>
          <w:szCs w:val="36"/>
        </w:rPr>
        <w:t>a two-State solution in Palestine</w:t>
      </w:r>
    </w:p>
    <w:p w14:paraId="374E0911" w14:textId="77777777" w:rsidR="00C737D6" w:rsidRPr="004F6AAB" w:rsidRDefault="00C737D6" w:rsidP="00647B22">
      <w:pPr>
        <w:spacing w:after="0" w:line="240" w:lineRule="auto"/>
        <w:rPr>
          <w:rFonts w:ascii="Arial" w:hAnsi="Arial" w:cs="Arial"/>
          <w:color w:val="0070C0"/>
          <w:sz w:val="20"/>
          <w:szCs w:val="20"/>
        </w:rPr>
      </w:pPr>
    </w:p>
    <w:p w14:paraId="1FA2EBA4" w14:textId="7F6C73CC" w:rsidR="00D17A5C" w:rsidRDefault="009A2840" w:rsidP="00647B22">
      <w:pPr>
        <w:tabs>
          <w:tab w:val="left" w:pos="567"/>
        </w:tabs>
        <w:spacing w:after="0" w:line="240" w:lineRule="auto"/>
        <w:jc w:val="center"/>
        <w:outlineLvl w:val="0"/>
        <w:rPr>
          <w:rFonts w:ascii="Arial" w:hAnsi="Arial" w:cs="Arial"/>
          <w:b/>
          <w:i/>
          <w:sz w:val="20"/>
          <w:szCs w:val="20"/>
        </w:rPr>
      </w:pPr>
      <w:r w:rsidRPr="009A2840">
        <w:rPr>
          <w:rFonts w:ascii="Arial" w:hAnsi="Arial" w:cs="Arial"/>
          <w:b/>
          <w:i/>
          <w:sz w:val="20"/>
          <w:szCs w:val="20"/>
          <w:u w:val="single"/>
        </w:rPr>
        <w:t>Draft resolution</w:t>
      </w:r>
      <w:r w:rsidRPr="009A2840">
        <w:rPr>
          <w:rFonts w:ascii="Arial" w:hAnsi="Arial" w:cs="Arial"/>
          <w:b/>
          <w:i/>
          <w:sz w:val="20"/>
          <w:szCs w:val="20"/>
        </w:rPr>
        <w:t xml:space="preserve"> submitted by the co-Rapporteurs</w:t>
      </w:r>
    </w:p>
    <w:p w14:paraId="0CAA0207" w14:textId="35639B00" w:rsidR="00D17A5C" w:rsidRDefault="00950164" w:rsidP="00647B22">
      <w:pPr>
        <w:tabs>
          <w:tab w:val="left" w:pos="567"/>
        </w:tabs>
        <w:spacing w:after="0" w:line="240" w:lineRule="auto"/>
        <w:jc w:val="center"/>
        <w:outlineLvl w:val="0"/>
        <w:rPr>
          <w:rFonts w:ascii="Arial" w:hAnsi="Arial" w:cs="Arial"/>
          <w:b/>
          <w:i/>
          <w:sz w:val="20"/>
          <w:szCs w:val="20"/>
        </w:rPr>
      </w:pPr>
      <w:r>
        <w:rPr>
          <w:rFonts w:ascii="Arial" w:hAnsi="Arial" w:cs="Arial"/>
          <w:b/>
          <w:i/>
          <w:sz w:val="20"/>
          <w:szCs w:val="20"/>
        </w:rPr>
        <w:t xml:space="preserve">Mr. M.A. </w:t>
      </w:r>
      <w:proofErr w:type="spellStart"/>
      <w:r>
        <w:rPr>
          <w:rFonts w:ascii="Arial" w:hAnsi="Arial" w:cs="Arial"/>
          <w:b/>
          <w:i/>
          <w:sz w:val="20"/>
          <w:szCs w:val="20"/>
        </w:rPr>
        <w:t>Bouchouit</w:t>
      </w:r>
      <w:proofErr w:type="spellEnd"/>
      <w:r>
        <w:rPr>
          <w:rFonts w:ascii="Arial" w:hAnsi="Arial" w:cs="Arial"/>
          <w:b/>
          <w:i/>
          <w:sz w:val="20"/>
          <w:szCs w:val="20"/>
        </w:rPr>
        <w:t xml:space="preserve"> (Algeria), </w:t>
      </w:r>
      <w:r w:rsidRPr="00AF473F">
        <w:rPr>
          <w:rFonts w:ascii="Arial" w:hAnsi="Arial" w:cs="Arial"/>
          <w:b/>
          <w:i/>
          <w:sz w:val="20"/>
          <w:szCs w:val="20"/>
        </w:rPr>
        <w:t xml:space="preserve">Ms. T. Vardanyan (Armenia), </w:t>
      </w:r>
      <w:r>
        <w:rPr>
          <w:rFonts w:ascii="Arial" w:hAnsi="Arial" w:cs="Arial"/>
          <w:b/>
          <w:i/>
          <w:sz w:val="20"/>
          <w:szCs w:val="20"/>
        </w:rPr>
        <w:t xml:space="preserve">Mr. J. </w:t>
      </w:r>
      <w:proofErr w:type="spellStart"/>
      <w:r>
        <w:rPr>
          <w:rFonts w:ascii="Arial" w:hAnsi="Arial" w:cs="Arial"/>
          <w:b/>
          <w:i/>
          <w:sz w:val="20"/>
          <w:szCs w:val="20"/>
        </w:rPr>
        <w:t>Buttimer</w:t>
      </w:r>
      <w:proofErr w:type="spellEnd"/>
      <w:r>
        <w:rPr>
          <w:rFonts w:ascii="Arial" w:hAnsi="Arial" w:cs="Arial"/>
          <w:b/>
          <w:i/>
          <w:sz w:val="20"/>
          <w:szCs w:val="20"/>
        </w:rPr>
        <w:t xml:space="preserve"> (Ireland)</w:t>
      </w:r>
      <w:r w:rsidDel="004B4CF8">
        <w:rPr>
          <w:rFonts w:ascii="Arial" w:hAnsi="Arial" w:cs="Arial"/>
          <w:b/>
          <w:i/>
          <w:sz w:val="20"/>
          <w:szCs w:val="20"/>
        </w:rPr>
        <w:t>,</w:t>
      </w:r>
      <w:r>
        <w:rPr>
          <w:rFonts w:ascii="Arial" w:hAnsi="Arial" w:cs="Arial"/>
          <w:b/>
          <w:i/>
          <w:sz w:val="20"/>
          <w:szCs w:val="20"/>
        </w:rPr>
        <w:br/>
      </w:r>
      <w:r w:rsidR="004B4CF8" w:rsidRPr="00D17A5C">
        <w:rPr>
          <w:rFonts w:ascii="Arial" w:hAnsi="Arial" w:cs="Arial"/>
          <w:b/>
          <w:i/>
          <w:sz w:val="20"/>
          <w:szCs w:val="20"/>
        </w:rPr>
        <w:t xml:space="preserve">Ms. T. </w:t>
      </w:r>
      <w:proofErr w:type="spellStart"/>
      <w:r w:rsidR="004B4CF8" w:rsidRPr="00D17A5C">
        <w:rPr>
          <w:rFonts w:ascii="Arial" w:hAnsi="Arial" w:cs="Arial"/>
          <w:b/>
          <w:i/>
          <w:sz w:val="20"/>
          <w:szCs w:val="20"/>
        </w:rPr>
        <w:t>Ts’ita-Mosena</w:t>
      </w:r>
      <w:proofErr w:type="spellEnd"/>
      <w:r w:rsidR="004B4CF8" w:rsidRPr="00D17A5C">
        <w:rPr>
          <w:rFonts w:ascii="Arial" w:hAnsi="Arial" w:cs="Arial"/>
          <w:b/>
          <w:i/>
          <w:sz w:val="20"/>
          <w:szCs w:val="20"/>
        </w:rPr>
        <w:t xml:space="preserve"> (Lesotho), </w:t>
      </w:r>
      <w:r w:rsidRPr="00080263">
        <w:rPr>
          <w:rFonts w:ascii="Arial" w:hAnsi="Arial" w:cs="Arial"/>
          <w:b/>
          <w:i/>
          <w:sz w:val="20"/>
          <w:szCs w:val="20"/>
        </w:rPr>
        <w:t>Ms. M. Guerra Castillo (Mexico),</w:t>
      </w:r>
      <w:r w:rsidRPr="004B4CF8">
        <w:rPr>
          <w:rFonts w:ascii="Arial" w:hAnsi="Arial" w:cs="Arial"/>
          <w:b/>
          <w:i/>
          <w:sz w:val="20"/>
          <w:szCs w:val="20"/>
        </w:rPr>
        <w:t xml:space="preserve"> </w:t>
      </w:r>
      <w:r w:rsidR="004B4CF8" w:rsidRPr="007D0847">
        <w:rPr>
          <w:rFonts w:ascii="Arial" w:hAnsi="Arial" w:cs="Arial"/>
          <w:b/>
          <w:i/>
          <w:sz w:val="20"/>
          <w:szCs w:val="20"/>
        </w:rPr>
        <w:t xml:space="preserve">Mr. T. </w:t>
      </w:r>
      <w:proofErr w:type="spellStart"/>
      <w:r w:rsidR="004B4CF8" w:rsidRPr="007D0847">
        <w:rPr>
          <w:rFonts w:ascii="Arial" w:hAnsi="Arial" w:cs="Arial"/>
          <w:b/>
          <w:i/>
          <w:sz w:val="20"/>
          <w:szCs w:val="20"/>
        </w:rPr>
        <w:t>Utikere</w:t>
      </w:r>
      <w:proofErr w:type="spellEnd"/>
      <w:r w:rsidR="004B4CF8" w:rsidRPr="007D0847">
        <w:rPr>
          <w:rFonts w:ascii="Arial" w:hAnsi="Arial" w:cs="Arial"/>
          <w:b/>
          <w:i/>
          <w:sz w:val="20"/>
          <w:szCs w:val="20"/>
        </w:rPr>
        <w:t xml:space="preserve"> (New Zealand)</w:t>
      </w:r>
    </w:p>
    <w:p w14:paraId="688D99BE" w14:textId="77777777" w:rsidR="00647B22" w:rsidRDefault="00647B22" w:rsidP="00647B22">
      <w:pPr>
        <w:spacing w:after="0" w:line="240" w:lineRule="auto"/>
        <w:ind w:left="1418" w:right="810" w:hanging="10"/>
        <w:rPr>
          <w:rFonts w:ascii="Arial" w:eastAsia="Traditional Arabic" w:hAnsi="Arial" w:cs="Arial"/>
          <w:sz w:val="20"/>
          <w:szCs w:val="20"/>
        </w:rPr>
      </w:pPr>
    </w:p>
    <w:p w14:paraId="7E46880E" w14:textId="0C42C14A" w:rsidR="00123CFA" w:rsidRPr="00130290" w:rsidRDefault="00647B22" w:rsidP="00647B22">
      <w:pPr>
        <w:tabs>
          <w:tab w:val="left" w:pos="1134"/>
        </w:tabs>
        <w:spacing w:after="0" w:line="240" w:lineRule="auto"/>
        <w:rPr>
          <w:rFonts w:ascii="Arial" w:eastAsia="Traditional Arabic" w:hAnsi="Arial" w:cs="Arial"/>
          <w:sz w:val="20"/>
          <w:szCs w:val="20"/>
        </w:rPr>
      </w:pPr>
      <w:r>
        <w:rPr>
          <w:rFonts w:ascii="Arial" w:eastAsia="Traditional Arabic" w:hAnsi="Arial" w:cs="Arial"/>
          <w:sz w:val="20"/>
          <w:szCs w:val="20"/>
        </w:rPr>
        <w:tab/>
      </w:r>
      <w:r w:rsidR="00123CFA" w:rsidRPr="00130290">
        <w:rPr>
          <w:rFonts w:ascii="Arial" w:eastAsia="Traditional Arabic" w:hAnsi="Arial" w:cs="Arial"/>
          <w:sz w:val="20"/>
          <w:szCs w:val="20"/>
        </w:rPr>
        <w:t>The 150th Assembly of the Inter-Parliamentary Union,</w:t>
      </w:r>
    </w:p>
    <w:p w14:paraId="72DE7F7D" w14:textId="77777777" w:rsidR="00123CFA" w:rsidRPr="0016674E" w:rsidRDefault="00123CFA" w:rsidP="00647B22">
      <w:pPr>
        <w:spacing w:after="0" w:line="240" w:lineRule="auto"/>
        <w:ind w:left="1418" w:right="810" w:hanging="10"/>
        <w:rPr>
          <w:rFonts w:asciiTheme="minorBidi" w:eastAsia="Times New Roman" w:hAnsiTheme="minorBidi"/>
          <w:sz w:val="20"/>
          <w:szCs w:val="20"/>
        </w:rPr>
      </w:pPr>
    </w:p>
    <w:p w14:paraId="47BE9117" w14:textId="7B57AE1C" w:rsidR="00C737D6" w:rsidRPr="00AB60A8" w:rsidRDefault="00990600" w:rsidP="00647B22">
      <w:pPr>
        <w:pStyle w:val="Paragraphedeliste"/>
        <w:tabs>
          <w:tab w:val="left" w:pos="1080"/>
        </w:tabs>
        <w:spacing w:after="0" w:line="240" w:lineRule="auto"/>
        <w:ind w:left="0"/>
        <w:rPr>
          <w:rFonts w:ascii="Arial" w:hAnsi="Arial" w:cs="Arial"/>
          <w:i/>
          <w:iCs/>
          <w:sz w:val="20"/>
          <w:szCs w:val="20"/>
        </w:rPr>
      </w:pPr>
      <w:r w:rsidRPr="00AB60A8">
        <w:rPr>
          <w:rFonts w:ascii="Arial" w:hAnsi="Arial" w:cs="Arial"/>
          <w:sz w:val="20"/>
          <w:szCs w:val="20"/>
        </w:rPr>
        <w:t>(1)</w:t>
      </w:r>
      <w:r w:rsidRPr="00AB60A8">
        <w:rPr>
          <w:rFonts w:ascii="Arial" w:hAnsi="Arial" w:cs="Arial"/>
          <w:sz w:val="20"/>
          <w:szCs w:val="20"/>
        </w:rPr>
        <w:tab/>
      </w:r>
      <w:r w:rsidR="00C737D6" w:rsidRPr="00AB60A8">
        <w:rPr>
          <w:rFonts w:ascii="Arial" w:hAnsi="Arial" w:cs="Arial"/>
          <w:i/>
          <w:iCs/>
          <w:sz w:val="20"/>
          <w:szCs w:val="20"/>
        </w:rPr>
        <w:t>Recalling</w:t>
      </w:r>
      <w:r w:rsidR="00C737D6" w:rsidRPr="00AB60A8">
        <w:rPr>
          <w:rFonts w:ascii="Arial" w:hAnsi="Arial" w:cs="Arial"/>
          <w:sz w:val="20"/>
          <w:szCs w:val="20"/>
        </w:rPr>
        <w:t xml:space="preserve"> the relevant resolutions of the United Nations Security Council on the Middle East conflict, including </w:t>
      </w:r>
      <w:r w:rsidR="00227F74">
        <w:rPr>
          <w:rFonts w:ascii="Arial" w:hAnsi="Arial" w:cs="Arial"/>
          <w:sz w:val="20"/>
          <w:szCs w:val="20"/>
        </w:rPr>
        <w:t>r</w:t>
      </w:r>
      <w:r w:rsidR="00227F74" w:rsidRPr="00AB60A8">
        <w:rPr>
          <w:rFonts w:ascii="Arial" w:hAnsi="Arial" w:cs="Arial"/>
          <w:sz w:val="20"/>
          <w:szCs w:val="20"/>
        </w:rPr>
        <w:t xml:space="preserve">esolutions </w:t>
      </w:r>
      <w:hyperlink r:id="rId11" w:history="1">
        <w:r w:rsidR="00C737D6" w:rsidRPr="00950164">
          <w:rPr>
            <w:rStyle w:val="Lienhypertexte"/>
            <w:rFonts w:ascii="Arial" w:hAnsi="Arial" w:cs="Arial"/>
            <w:sz w:val="20"/>
            <w:szCs w:val="20"/>
          </w:rPr>
          <w:t>242</w:t>
        </w:r>
      </w:hyperlink>
      <w:r w:rsidR="00C737D6" w:rsidRPr="00AB60A8">
        <w:rPr>
          <w:rFonts w:ascii="Arial" w:hAnsi="Arial" w:cs="Arial"/>
          <w:sz w:val="20"/>
          <w:szCs w:val="20"/>
        </w:rPr>
        <w:t xml:space="preserve"> (1967), </w:t>
      </w:r>
      <w:hyperlink r:id="rId12" w:history="1">
        <w:r w:rsidR="00C737D6" w:rsidRPr="00950164">
          <w:rPr>
            <w:rStyle w:val="Lienhypertexte"/>
            <w:rFonts w:ascii="Arial" w:hAnsi="Arial" w:cs="Arial"/>
            <w:sz w:val="20"/>
            <w:szCs w:val="20"/>
          </w:rPr>
          <w:t>338</w:t>
        </w:r>
      </w:hyperlink>
      <w:r w:rsidR="00C737D6" w:rsidRPr="00AB60A8">
        <w:rPr>
          <w:rFonts w:ascii="Arial" w:hAnsi="Arial" w:cs="Arial"/>
          <w:sz w:val="20"/>
          <w:szCs w:val="20"/>
        </w:rPr>
        <w:t xml:space="preserve"> (1973), </w:t>
      </w:r>
      <w:hyperlink r:id="rId13" w:history="1">
        <w:r w:rsidR="00C737D6" w:rsidRPr="00950164">
          <w:rPr>
            <w:rStyle w:val="Lienhypertexte"/>
            <w:rFonts w:ascii="Arial" w:hAnsi="Arial" w:cs="Arial"/>
            <w:sz w:val="20"/>
            <w:szCs w:val="20"/>
          </w:rPr>
          <w:t>1397</w:t>
        </w:r>
      </w:hyperlink>
      <w:r w:rsidR="00C737D6" w:rsidRPr="00AB60A8">
        <w:rPr>
          <w:rFonts w:ascii="Arial" w:hAnsi="Arial" w:cs="Arial"/>
          <w:sz w:val="20"/>
          <w:szCs w:val="20"/>
        </w:rPr>
        <w:t xml:space="preserve"> (2002), </w:t>
      </w:r>
      <w:hyperlink r:id="rId14" w:history="1">
        <w:r w:rsidR="00C737D6" w:rsidRPr="00950164">
          <w:rPr>
            <w:rStyle w:val="Lienhypertexte"/>
            <w:rFonts w:ascii="Arial" w:hAnsi="Arial" w:cs="Arial"/>
            <w:sz w:val="20"/>
            <w:szCs w:val="20"/>
          </w:rPr>
          <w:t>1515</w:t>
        </w:r>
      </w:hyperlink>
      <w:r w:rsidR="00C737D6" w:rsidRPr="00AB60A8">
        <w:rPr>
          <w:rFonts w:ascii="Arial" w:hAnsi="Arial" w:cs="Arial"/>
          <w:sz w:val="20"/>
          <w:szCs w:val="20"/>
        </w:rPr>
        <w:t xml:space="preserve"> (2003) and </w:t>
      </w:r>
      <w:hyperlink r:id="rId15" w:history="1">
        <w:r w:rsidR="00C737D6" w:rsidRPr="00950164">
          <w:rPr>
            <w:rStyle w:val="Lienhypertexte"/>
            <w:rFonts w:ascii="Arial" w:hAnsi="Arial" w:cs="Arial"/>
            <w:sz w:val="20"/>
            <w:szCs w:val="20"/>
          </w:rPr>
          <w:t>2334</w:t>
        </w:r>
      </w:hyperlink>
      <w:r w:rsidR="00C737D6" w:rsidRPr="00AB60A8">
        <w:rPr>
          <w:rFonts w:ascii="Arial" w:hAnsi="Arial" w:cs="Arial"/>
          <w:sz w:val="20"/>
          <w:szCs w:val="20"/>
        </w:rPr>
        <w:t xml:space="preserve"> (2016)</w:t>
      </w:r>
      <w:r w:rsidR="00227F74">
        <w:rPr>
          <w:rFonts w:ascii="Arial" w:hAnsi="Arial" w:cs="Arial"/>
          <w:sz w:val="20"/>
          <w:szCs w:val="20"/>
        </w:rPr>
        <w:t>,</w:t>
      </w:r>
      <w:r w:rsidR="00C737D6" w:rsidRPr="00AB60A8">
        <w:rPr>
          <w:rFonts w:ascii="Arial" w:hAnsi="Arial" w:cs="Arial"/>
          <w:sz w:val="20"/>
          <w:szCs w:val="20"/>
        </w:rPr>
        <w:t xml:space="preserve"> which established the principles for the resolution of this conflict, in particular the inadmissibility of acquisition of territory by force, as well as those of the United Nations General Assembly, including </w:t>
      </w:r>
      <w:r w:rsidR="009E2220">
        <w:rPr>
          <w:rFonts w:ascii="Arial" w:hAnsi="Arial" w:cs="Arial"/>
          <w:sz w:val="20"/>
          <w:szCs w:val="20"/>
        </w:rPr>
        <w:t>r</w:t>
      </w:r>
      <w:r w:rsidR="00C737D6" w:rsidRPr="00AB60A8">
        <w:rPr>
          <w:rFonts w:ascii="Arial" w:hAnsi="Arial" w:cs="Arial"/>
          <w:sz w:val="20"/>
          <w:szCs w:val="20"/>
        </w:rPr>
        <w:t xml:space="preserve">esolutions </w:t>
      </w:r>
      <w:hyperlink r:id="rId16" w:history="1">
        <w:r w:rsidR="00C737D6" w:rsidRPr="00322707">
          <w:rPr>
            <w:rStyle w:val="Lienhypertexte"/>
            <w:rFonts w:ascii="Arial" w:hAnsi="Arial" w:cs="Arial"/>
            <w:sz w:val="20"/>
            <w:szCs w:val="20"/>
          </w:rPr>
          <w:t>181 (II)</w:t>
        </w:r>
      </w:hyperlink>
      <w:r w:rsidR="00C737D6" w:rsidRPr="00AB60A8">
        <w:rPr>
          <w:rFonts w:ascii="Arial" w:hAnsi="Arial" w:cs="Arial"/>
          <w:sz w:val="20"/>
          <w:szCs w:val="20"/>
        </w:rPr>
        <w:t xml:space="preserve"> (1947), </w:t>
      </w:r>
      <w:hyperlink r:id="rId17" w:history="1">
        <w:r w:rsidR="00C737D6" w:rsidRPr="00322707">
          <w:rPr>
            <w:rStyle w:val="Lienhypertexte"/>
            <w:rFonts w:ascii="Arial" w:hAnsi="Arial" w:cs="Arial"/>
            <w:sz w:val="20"/>
            <w:szCs w:val="20"/>
          </w:rPr>
          <w:t>194 (III)</w:t>
        </w:r>
      </w:hyperlink>
      <w:r w:rsidR="00C737D6" w:rsidRPr="00AB60A8">
        <w:rPr>
          <w:rFonts w:ascii="Arial" w:hAnsi="Arial" w:cs="Arial"/>
          <w:sz w:val="20"/>
          <w:szCs w:val="20"/>
        </w:rPr>
        <w:t xml:space="preserve"> (1948), </w:t>
      </w:r>
      <w:hyperlink r:id="rId18" w:history="1">
        <w:r w:rsidR="00C737D6" w:rsidRPr="00950164">
          <w:rPr>
            <w:rStyle w:val="Lienhypertexte"/>
            <w:rFonts w:ascii="Arial" w:hAnsi="Arial" w:cs="Arial"/>
            <w:sz w:val="20"/>
            <w:szCs w:val="20"/>
          </w:rPr>
          <w:t>58/292</w:t>
        </w:r>
      </w:hyperlink>
      <w:r w:rsidR="00C737D6" w:rsidRPr="00AB60A8">
        <w:rPr>
          <w:rFonts w:ascii="Arial" w:hAnsi="Arial" w:cs="Arial"/>
          <w:sz w:val="20"/>
          <w:szCs w:val="20"/>
        </w:rPr>
        <w:t xml:space="preserve"> (2004), </w:t>
      </w:r>
      <w:hyperlink r:id="rId19" w:history="1">
        <w:r w:rsidR="00C737D6" w:rsidRPr="00950164">
          <w:rPr>
            <w:rStyle w:val="Lienhypertexte"/>
            <w:rFonts w:ascii="Arial" w:hAnsi="Arial" w:cs="Arial"/>
            <w:sz w:val="20"/>
            <w:szCs w:val="20"/>
          </w:rPr>
          <w:t>67/19</w:t>
        </w:r>
      </w:hyperlink>
      <w:r w:rsidR="00C737D6" w:rsidRPr="00AB60A8">
        <w:rPr>
          <w:rFonts w:ascii="Arial" w:hAnsi="Arial" w:cs="Arial"/>
          <w:sz w:val="20"/>
          <w:szCs w:val="20"/>
        </w:rPr>
        <w:t xml:space="preserve"> (2012), </w:t>
      </w:r>
      <w:hyperlink r:id="rId20" w:history="1">
        <w:r w:rsidR="00C737D6" w:rsidRPr="00950164">
          <w:rPr>
            <w:rStyle w:val="Lienhypertexte"/>
            <w:rFonts w:ascii="Arial" w:hAnsi="Arial" w:cs="Arial"/>
            <w:sz w:val="20"/>
            <w:szCs w:val="20"/>
          </w:rPr>
          <w:t>73/18</w:t>
        </w:r>
      </w:hyperlink>
      <w:r w:rsidR="00C737D6" w:rsidRPr="00AB60A8">
        <w:rPr>
          <w:rFonts w:ascii="Arial" w:hAnsi="Arial" w:cs="Arial"/>
          <w:sz w:val="20"/>
          <w:szCs w:val="20"/>
        </w:rPr>
        <w:t xml:space="preserve"> (2018), and the most recent resolution</w:t>
      </w:r>
      <w:r w:rsidR="00227F74">
        <w:rPr>
          <w:rFonts w:ascii="Arial" w:hAnsi="Arial" w:cs="Arial"/>
          <w:sz w:val="20"/>
          <w:szCs w:val="20"/>
        </w:rPr>
        <w:t xml:space="preserve"> </w:t>
      </w:r>
      <w:hyperlink r:id="rId21" w:history="1">
        <w:r w:rsidR="00227F74" w:rsidRPr="00950164">
          <w:rPr>
            <w:rStyle w:val="Lienhypertexte"/>
            <w:rFonts w:ascii="Arial" w:hAnsi="Arial" w:cs="Arial"/>
            <w:sz w:val="20"/>
            <w:szCs w:val="20"/>
          </w:rPr>
          <w:t>79/81</w:t>
        </w:r>
      </w:hyperlink>
      <w:r w:rsidR="00227F74">
        <w:rPr>
          <w:rFonts w:ascii="Arial" w:hAnsi="Arial" w:cs="Arial"/>
          <w:sz w:val="20"/>
          <w:szCs w:val="20"/>
        </w:rPr>
        <w:t xml:space="preserve"> (2024)</w:t>
      </w:r>
      <w:r w:rsidR="00C737D6" w:rsidRPr="00AB60A8">
        <w:rPr>
          <w:rFonts w:ascii="Arial" w:hAnsi="Arial" w:cs="Arial"/>
          <w:sz w:val="20"/>
          <w:szCs w:val="20"/>
        </w:rPr>
        <w:t xml:space="preserve"> on </w:t>
      </w:r>
      <w:r w:rsidR="00C737D6" w:rsidRPr="00647B22">
        <w:rPr>
          <w:rFonts w:ascii="Arial" w:hAnsi="Arial" w:cs="Arial"/>
          <w:i/>
          <w:iCs/>
          <w:sz w:val="20"/>
          <w:szCs w:val="20"/>
        </w:rPr>
        <w:t>Peaceful settlement of the question of Palestine</w:t>
      </w:r>
      <w:r w:rsidR="00C737D6" w:rsidRPr="00AB60A8">
        <w:rPr>
          <w:rFonts w:ascii="Arial" w:hAnsi="Arial" w:cs="Arial"/>
          <w:sz w:val="20"/>
          <w:szCs w:val="20"/>
        </w:rPr>
        <w:t>, which expressed unwavering support, in accordance with international law, for a two-</w:t>
      </w:r>
      <w:r w:rsidR="006F0A59">
        <w:rPr>
          <w:rFonts w:ascii="Arial" w:hAnsi="Arial" w:cs="Arial"/>
          <w:sz w:val="20"/>
          <w:szCs w:val="20"/>
        </w:rPr>
        <w:t>S</w:t>
      </w:r>
      <w:r w:rsidR="006F0A59" w:rsidRPr="00AB60A8">
        <w:rPr>
          <w:rFonts w:ascii="Arial" w:hAnsi="Arial" w:cs="Arial"/>
          <w:sz w:val="20"/>
          <w:szCs w:val="20"/>
        </w:rPr>
        <w:t xml:space="preserve">tate </w:t>
      </w:r>
      <w:r w:rsidR="00C737D6" w:rsidRPr="00AB60A8">
        <w:rPr>
          <w:rFonts w:ascii="Arial" w:hAnsi="Arial" w:cs="Arial"/>
          <w:sz w:val="20"/>
          <w:szCs w:val="20"/>
        </w:rPr>
        <w:t xml:space="preserve">solution to the Israeli-Palestinian conflict based on the 1967 borders, with both </w:t>
      </w:r>
      <w:r w:rsidR="006F0A59">
        <w:rPr>
          <w:rFonts w:ascii="Arial" w:hAnsi="Arial" w:cs="Arial"/>
          <w:sz w:val="20"/>
          <w:szCs w:val="20"/>
        </w:rPr>
        <w:t>S</w:t>
      </w:r>
      <w:r w:rsidR="006F0A59" w:rsidRPr="00AB60A8">
        <w:rPr>
          <w:rFonts w:ascii="Arial" w:hAnsi="Arial" w:cs="Arial"/>
          <w:sz w:val="20"/>
          <w:szCs w:val="20"/>
        </w:rPr>
        <w:t xml:space="preserve">tates </w:t>
      </w:r>
      <w:r w:rsidR="00C737D6" w:rsidRPr="00AB60A8">
        <w:rPr>
          <w:rFonts w:ascii="Arial" w:hAnsi="Arial" w:cs="Arial"/>
          <w:sz w:val="20"/>
          <w:szCs w:val="20"/>
        </w:rPr>
        <w:t>living side by side in peace and security,</w:t>
      </w:r>
    </w:p>
    <w:p w14:paraId="16EF8D9D" w14:textId="77777777" w:rsidR="000034B0" w:rsidRPr="004F6AAB" w:rsidRDefault="000034B0" w:rsidP="00647B22">
      <w:pPr>
        <w:pStyle w:val="Paragraphedeliste"/>
        <w:spacing w:after="0" w:line="240" w:lineRule="auto"/>
        <w:ind w:left="0"/>
        <w:rPr>
          <w:rFonts w:ascii="Arial" w:hAnsi="Arial" w:cs="Arial"/>
          <w:sz w:val="16"/>
          <w:szCs w:val="16"/>
        </w:rPr>
      </w:pPr>
    </w:p>
    <w:p w14:paraId="74D0F6DE" w14:textId="3334C576" w:rsidR="00C737D6" w:rsidRPr="00AB60A8" w:rsidRDefault="00990600" w:rsidP="00647B22">
      <w:pPr>
        <w:pStyle w:val="Paragraphedeliste"/>
        <w:tabs>
          <w:tab w:val="left" w:pos="1134"/>
        </w:tabs>
        <w:spacing w:after="0" w:line="240" w:lineRule="auto"/>
        <w:ind w:left="0"/>
        <w:rPr>
          <w:rFonts w:ascii="Arial" w:hAnsi="Arial" w:cs="Arial"/>
          <w:sz w:val="20"/>
          <w:szCs w:val="20"/>
        </w:rPr>
      </w:pPr>
      <w:r w:rsidRPr="00AB60A8">
        <w:rPr>
          <w:rFonts w:ascii="Arial" w:hAnsi="Arial" w:cs="Arial"/>
          <w:sz w:val="20"/>
          <w:szCs w:val="20"/>
        </w:rPr>
        <w:t>(2)</w:t>
      </w:r>
      <w:r w:rsidRPr="00AB60A8">
        <w:rPr>
          <w:rFonts w:ascii="Arial" w:hAnsi="Arial" w:cs="Arial"/>
          <w:sz w:val="20"/>
          <w:szCs w:val="20"/>
        </w:rPr>
        <w:tab/>
      </w:r>
      <w:r w:rsidR="00C737D6" w:rsidRPr="00AB60A8">
        <w:rPr>
          <w:rFonts w:ascii="Arial" w:hAnsi="Arial" w:cs="Arial"/>
          <w:i/>
          <w:iCs/>
          <w:sz w:val="20"/>
          <w:szCs w:val="20"/>
        </w:rPr>
        <w:t>Recalling also</w:t>
      </w:r>
      <w:r w:rsidR="00C737D6" w:rsidRPr="00AB60A8">
        <w:rPr>
          <w:rFonts w:ascii="Arial" w:hAnsi="Arial" w:cs="Arial"/>
          <w:sz w:val="20"/>
          <w:szCs w:val="20"/>
        </w:rPr>
        <w:t xml:space="preserve"> the IPU’s </w:t>
      </w:r>
      <w:r w:rsidR="006F0A59" w:rsidRPr="00AB60A8">
        <w:rPr>
          <w:rFonts w:ascii="Arial" w:hAnsi="Arial" w:cs="Arial"/>
          <w:sz w:val="20"/>
          <w:szCs w:val="20"/>
        </w:rPr>
        <w:t xml:space="preserve">numerous </w:t>
      </w:r>
      <w:r w:rsidR="00C737D6" w:rsidRPr="00AB60A8">
        <w:rPr>
          <w:rFonts w:ascii="Arial" w:hAnsi="Arial" w:cs="Arial"/>
          <w:sz w:val="20"/>
          <w:szCs w:val="20"/>
        </w:rPr>
        <w:t>resolutions and statements since 1988 on the Israeli</w:t>
      </w:r>
      <w:r w:rsidR="00647B22">
        <w:rPr>
          <w:rFonts w:ascii="Arial" w:hAnsi="Arial" w:cs="Arial"/>
          <w:sz w:val="20"/>
          <w:szCs w:val="20"/>
        </w:rPr>
        <w:noBreakHyphen/>
      </w:r>
      <w:r w:rsidR="00C737D6" w:rsidRPr="00AB60A8">
        <w:rPr>
          <w:rFonts w:ascii="Arial" w:hAnsi="Arial" w:cs="Arial"/>
          <w:sz w:val="20"/>
          <w:szCs w:val="20"/>
        </w:rPr>
        <w:t xml:space="preserve">Palestinian conflict, which have consistently </w:t>
      </w:r>
      <w:bookmarkStart w:id="1" w:name="_Hlk184895345"/>
      <w:r w:rsidR="00C737D6" w:rsidRPr="00AB60A8">
        <w:rPr>
          <w:rFonts w:ascii="Arial" w:hAnsi="Arial" w:cs="Arial"/>
          <w:sz w:val="20"/>
          <w:szCs w:val="20"/>
        </w:rPr>
        <w:t>emphasized the need for a peaceful resolution based on international law and mutual recognition</w:t>
      </w:r>
      <w:bookmarkEnd w:id="1"/>
      <w:r w:rsidR="00C737D6" w:rsidRPr="00AB60A8">
        <w:rPr>
          <w:rFonts w:ascii="Arial" w:hAnsi="Arial" w:cs="Arial"/>
          <w:sz w:val="20"/>
          <w:szCs w:val="20"/>
        </w:rPr>
        <w:t xml:space="preserve">, </w:t>
      </w:r>
      <w:r w:rsidR="006F0A59" w:rsidRPr="00AB60A8">
        <w:rPr>
          <w:rFonts w:ascii="Arial" w:hAnsi="Arial" w:cs="Arial"/>
          <w:sz w:val="20"/>
          <w:szCs w:val="20"/>
        </w:rPr>
        <w:t>reaffirm</w:t>
      </w:r>
      <w:r w:rsidR="006F0A59">
        <w:rPr>
          <w:rFonts w:ascii="Arial" w:hAnsi="Arial" w:cs="Arial"/>
          <w:sz w:val="20"/>
          <w:szCs w:val="20"/>
        </w:rPr>
        <w:t>ed</w:t>
      </w:r>
      <w:r w:rsidR="006F0A59" w:rsidRPr="00AB60A8">
        <w:rPr>
          <w:rFonts w:ascii="Arial" w:hAnsi="Arial" w:cs="Arial"/>
          <w:sz w:val="20"/>
          <w:szCs w:val="20"/>
        </w:rPr>
        <w:t xml:space="preserve"> </w:t>
      </w:r>
      <w:r w:rsidR="00C737D6" w:rsidRPr="00AB60A8">
        <w:rPr>
          <w:rFonts w:ascii="Arial" w:hAnsi="Arial" w:cs="Arial"/>
          <w:sz w:val="20"/>
          <w:szCs w:val="20"/>
        </w:rPr>
        <w:t>the right of the Palestinian people to self</w:t>
      </w:r>
      <w:r w:rsidR="00647B22">
        <w:rPr>
          <w:rFonts w:ascii="Arial" w:hAnsi="Arial" w:cs="Arial"/>
          <w:sz w:val="20"/>
          <w:szCs w:val="20"/>
        </w:rPr>
        <w:noBreakHyphen/>
      </w:r>
      <w:r w:rsidR="00C737D6" w:rsidRPr="00AB60A8">
        <w:rPr>
          <w:rFonts w:ascii="Arial" w:hAnsi="Arial" w:cs="Arial"/>
          <w:sz w:val="20"/>
          <w:szCs w:val="20"/>
        </w:rPr>
        <w:t>determination, oppos</w:t>
      </w:r>
      <w:r w:rsidR="006F0A59">
        <w:rPr>
          <w:rFonts w:ascii="Arial" w:hAnsi="Arial" w:cs="Arial"/>
          <w:sz w:val="20"/>
          <w:szCs w:val="20"/>
        </w:rPr>
        <w:t>ed</w:t>
      </w:r>
      <w:r w:rsidR="00C737D6" w:rsidRPr="00AB60A8">
        <w:rPr>
          <w:rFonts w:ascii="Arial" w:hAnsi="Arial" w:cs="Arial"/>
          <w:sz w:val="20"/>
          <w:szCs w:val="20"/>
        </w:rPr>
        <w:t xml:space="preserve"> illegal settlements, condemn</w:t>
      </w:r>
      <w:r w:rsidR="006F0A59">
        <w:rPr>
          <w:rFonts w:ascii="Arial" w:hAnsi="Arial" w:cs="Arial"/>
          <w:sz w:val="20"/>
          <w:szCs w:val="20"/>
        </w:rPr>
        <w:t>ed</w:t>
      </w:r>
      <w:r w:rsidR="00C737D6" w:rsidRPr="00AB60A8">
        <w:rPr>
          <w:rFonts w:ascii="Arial" w:hAnsi="Arial" w:cs="Arial"/>
          <w:sz w:val="20"/>
          <w:szCs w:val="20"/>
        </w:rPr>
        <w:t xml:space="preserve"> all acts of terrorism and violent attacks</w:t>
      </w:r>
      <w:r w:rsidR="00322707">
        <w:rPr>
          <w:rFonts w:ascii="Arial" w:hAnsi="Arial" w:cs="Arial"/>
          <w:sz w:val="20"/>
          <w:szCs w:val="20"/>
        </w:rPr>
        <w:t>,</w:t>
      </w:r>
      <w:r w:rsidR="00C737D6" w:rsidRPr="00AB60A8">
        <w:rPr>
          <w:rFonts w:ascii="Arial" w:hAnsi="Arial" w:cs="Arial"/>
          <w:sz w:val="20"/>
          <w:szCs w:val="20"/>
        </w:rPr>
        <w:t xml:space="preserve"> and </w:t>
      </w:r>
      <w:r w:rsidR="006F0A59" w:rsidRPr="00AB60A8">
        <w:rPr>
          <w:rFonts w:ascii="Arial" w:hAnsi="Arial" w:cs="Arial"/>
          <w:sz w:val="20"/>
          <w:szCs w:val="20"/>
        </w:rPr>
        <w:t>call</w:t>
      </w:r>
      <w:r w:rsidR="006F0A59">
        <w:rPr>
          <w:rFonts w:ascii="Arial" w:hAnsi="Arial" w:cs="Arial"/>
          <w:sz w:val="20"/>
          <w:szCs w:val="20"/>
        </w:rPr>
        <w:t>ed</w:t>
      </w:r>
      <w:r w:rsidR="006F0A59" w:rsidRPr="00AB60A8">
        <w:rPr>
          <w:rFonts w:ascii="Arial" w:hAnsi="Arial" w:cs="Arial"/>
          <w:sz w:val="20"/>
          <w:szCs w:val="20"/>
        </w:rPr>
        <w:t xml:space="preserve"> </w:t>
      </w:r>
      <w:r w:rsidR="00C737D6" w:rsidRPr="00AB60A8">
        <w:rPr>
          <w:rFonts w:ascii="Arial" w:hAnsi="Arial" w:cs="Arial"/>
          <w:sz w:val="20"/>
          <w:szCs w:val="20"/>
        </w:rPr>
        <w:t>for urgent humanitarian action, while supporting international efforts to achieve a two-</w:t>
      </w:r>
      <w:r w:rsidR="006F0A59">
        <w:rPr>
          <w:rFonts w:ascii="Arial" w:hAnsi="Arial" w:cs="Arial"/>
          <w:sz w:val="20"/>
          <w:szCs w:val="20"/>
        </w:rPr>
        <w:t>S</w:t>
      </w:r>
      <w:r w:rsidR="006F0A59" w:rsidRPr="00AB60A8">
        <w:rPr>
          <w:rFonts w:ascii="Arial" w:hAnsi="Arial" w:cs="Arial"/>
          <w:sz w:val="20"/>
          <w:szCs w:val="20"/>
        </w:rPr>
        <w:t xml:space="preserve">tate </w:t>
      </w:r>
      <w:r w:rsidR="00C737D6" w:rsidRPr="00AB60A8">
        <w:rPr>
          <w:rFonts w:ascii="Arial" w:hAnsi="Arial" w:cs="Arial"/>
          <w:sz w:val="20"/>
          <w:szCs w:val="20"/>
        </w:rPr>
        <w:t>solution</w:t>
      </w:r>
      <w:r w:rsidR="001C2840">
        <w:rPr>
          <w:rFonts w:ascii="Arial" w:hAnsi="Arial" w:cs="Arial"/>
          <w:sz w:val="20"/>
          <w:szCs w:val="20"/>
        </w:rPr>
        <w:t>,</w:t>
      </w:r>
    </w:p>
    <w:p w14:paraId="67FA5B6C" w14:textId="77777777" w:rsidR="000034B0" w:rsidRPr="004F6AAB" w:rsidRDefault="000034B0" w:rsidP="00647B22">
      <w:pPr>
        <w:pStyle w:val="Paragraphedeliste"/>
        <w:spacing w:after="0" w:line="240" w:lineRule="auto"/>
        <w:ind w:left="0"/>
        <w:rPr>
          <w:rFonts w:ascii="Arial" w:hAnsi="Arial" w:cs="Arial"/>
          <w:sz w:val="16"/>
          <w:szCs w:val="16"/>
        </w:rPr>
      </w:pPr>
    </w:p>
    <w:p w14:paraId="0F9BA8D9" w14:textId="08BB5EF3" w:rsidR="00C737D6" w:rsidRDefault="00990600" w:rsidP="00647B22">
      <w:pPr>
        <w:pStyle w:val="Paragraphedeliste"/>
        <w:tabs>
          <w:tab w:val="left" w:pos="1134"/>
        </w:tabs>
        <w:spacing w:after="0" w:line="240" w:lineRule="auto"/>
        <w:ind w:left="0"/>
        <w:rPr>
          <w:rFonts w:ascii="Arial" w:hAnsi="Arial" w:cs="Arial"/>
          <w:sz w:val="20"/>
          <w:szCs w:val="20"/>
        </w:rPr>
      </w:pPr>
      <w:r w:rsidRPr="00AB60A8">
        <w:rPr>
          <w:rFonts w:ascii="Arial" w:hAnsi="Arial" w:cs="Arial"/>
          <w:sz w:val="20"/>
          <w:szCs w:val="20"/>
        </w:rPr>
        <w:t>(3)</w:t>
      </w:r>
      <w:r w:rsidRPr="00AB60A8">
        <w:rPr>
          <w:rFonts w:ascii="Arial" w:hAnsi="Arial" w:cs="Arial"/>
          <w:i/>
          <w:iCs/>
          <w:sz w:val="20"/>
          <w:szCs w:val="20"/>
        </w:rPr>
        <w:tab/>
      </w:r>
      <w:r w:rsidR="00C737D6" w:rsidRPr="00AB60A8">
        <w:rPr>
          <w:rFonts w:ascii="Arial" w:hAnsi="Arial" w:cs="Arial"/>
          <w:i/>
          <w:iCs/>
          <w:sz w:val="20"/>
          <w:szCs w:val="20"/>
        </w:rPr>
        <w:t>Acknowledging</w:t>
      </w:r>
      <w:r w:rsidR="00C737D6" w:rsidRPr="00AB60A8">
        <w:rPr>
          <w:rFonts w:ascii="Arial" w:hAnsi="Arial" w:cs="Arial"/>
          <w:sz w:val="20"/>
          <w:szCs w:val="20"/>
        </w:rPr>
        <w:t xml:space="preserve"> the long</w:t>
      </w:r>
      <w:r w:rsidR="006F0A59">
        <w:rPr>
          <w:rFonts w:ascii="Arial" w:hAnsi="Arial" w:cs="Arial"/>
          <w:sz w:val="20"/>
          <w:szCs w:val="20"/>
        </w:rPr>
        <w:t>-</w:t>
      </w:r>
      <w:r w:rsidR="00C737D6" w:rsidRPr="00AB60A8">
        <w:rPr>
          <w:rFonts w:ascii="Arial" w:hAnsi="Arial" w:cs="Arial"/>
          <w:sz w:val="20"/>
          <w:szCs w:val="20"/>
        </w:rPr>
        <w:t xml:space="preserve">standing Israeli-Palestinian conflict, </w:t>
      </w:r>
      <w:proofErr w:type="spellStart"/>
      <w:r w:rsidR="00C737D6" w:rsidRPr="00AB60A8">
        <w:rPr>
          <w:rFonts w:ascii="Arial" w:hAnsi="Arial" w:cs="Arial"/>
          <w:sz w:val="20"/>
          <w:szCs w:val="20"/>
        </w:rPr>
        <w:t>its</w:t>
      </w:r>
      <w:proofErr w:type="spellEnd"/>
      <w:r w:rsidR="00C737D6" w:rsidRPr="00AB60A8">
        <w:rPr>
          <w:rFonts w:ascii="Arial" w:hAnsi="Arial" w:cs="Arial"/>
          <w:sz w:val="20"/>
          <w:szCs w:val="20"/>
        </w:rPr>
        <w:t xml:space="preserve"> devastating human toll, including </w:t>
      </w:r>
      <w:r w:rsidR="006F0A59">
        <w:rPr>
          <w:rFonts w:ascii="Arial" w:hAnsi="Arial" w:cs="Arial"/>
          <w:sz w:val="20"/>
          <w:szCs w:val="20"/>
        </w:rPr>
        <w:t xml:space="preserve">population </w:t>
      </w:r>
      <w:r w:rsidR="00C737D6" w:rsidRPr="00AB60A8">
        <w:rPr>
          <w:rFonts w:ascii="Arial" w:hAnsi="Arial" w:cs="Arial"/>
          <w:sz w:val="20"/>
          <w:szCs w:val="20"/>
        </w:rPr>
        <w:t>displacement, loss of li</w:t>
      </w:r>
      <w:r w:rsidR="00CB0F43">
        <w:rPr>
          <w:rFonts w:ascii="Arial" w:hAnsi="Arial" w:cs="Arial"/>
          <w:sz w:val="20"/>
          <w:szCs w:val="20"/>
        </w:rPr>
        <w:t>fe</w:t>
      </w:r>
      <w:r w:rsidR="00C737D6" w:rsidRPr="00AB60A8">
        <w:rPr>
          <w:rFonts w:ascii="Arial" w:hAnsi="Arial" w:cs="Arial"/>
          <w:sz w:val="20"/>
          <w:szCs w:val="20"/>
        </w:rPr>
        <w:t xml:space="preserve"> and regional instability, and its significant intensification </w:t>
      </w:r>
      <w:r w:rsidR="00AF4DB7" w:rsidRPr="006F0A59">
        <w:rPr>
          <w:rFonts w:ascii="Arial" w:hAnsi="Arial" w:cs="Arial"/>
          <w:sz w:val="20"/>
          <w:szCs w:val="20"/>
        </w:rPr>
        <w:t xml:space="preserve">since </w:t>
      </w:r>
      <w:r w:rsidR="00C737D6" w:rsidRPr="00AB60A8">
        <w:rPr>
          <w:rFonts w:ascii="Arial" w:hAnsi="Arial" w:cs="Arial"/>
          <w:sz w:val="20"/>
          <w:szCs w:val="20"/>
        </w:rPr>
        <w:t>7 October 2023</w:t>
      </w:r>
      <w:r w:rsidR="006F0A59">
        <w:rPr>
          <w:rFonts w:ascii="Arial" w:hAnsi="Arial" w:cs="Arial"/>
          <w:sz w:val="20"/>
          <w:szCs w:val="20"/>
        </w:rPr>
        <w:t>,</w:t>
      </w:r>
      <w:r w:rsidR="00C737D6" w:rsidRPr="00AB60A8">
        <w:rPr>
          <w:rFonts w:ascii="Arial" w:hAnsi="Arial" w:cs="Arial"/>
          <w:sz w:val="20"/>
          <w:szCs w:val="20"/>
        </w:rPr>
        <w:t xml:space="preserve"> which </w:t>
      </w:r>
      <w:r w:rsidR="006F0A59">
        <w:rPr>
          <w:rFonts w:ascii="Arial" w:hAnsi="Arial" w:cs="Arial"/>
          <w:sz w:val="20"/>
          <w:szCs w:val="20"/>
        </w:rPr>
        <w:t xml:space="preserve">has </w:t>
      </w:r>
      <w:r w:rsidR="00C737D6" w:rsidRPr="00AB60A8">
        <w:rPr>
          <w:rFonts w:ascii="Arial" w:hAnsi="Arial" w:cs="Arial"/>
          <w:sz w:val="20"/>
          <w:szCs w:val="20"/>
        </w:rPr>
        <w:t xml:space="preserve">resulted in </w:t>
      </w:r>
      <w:r w:rsidR="00C22092">
        <w:rPr>
          <w:rFonts w:ascii="Arial" w:hAnsi="Arial" w:cs="Arial"/>
          <w:sz w:val="20"/>
          <w:szCs w:val="20"/>
        </w:rPr>
        <w:t xml:space="preserve">a </w:t>
      </w:r>
      <w:r w:rsidR="00C737D6" w:rsidRPr="00AB60A8">
        <w:rPr>
          <w:rFonts w:ascii="Arial" w:hAnsi="Arial" w:cs="Arial"/>
          <w:sz w:val="20"/>
          <w:szCs w:val="20"/>
        </w:rPr>
        <w:t xml:space="preserve">substantial </w:t>
      </w:r>
      <w:r w:rsidR="00C22092">
        <w:rPr>
          <w:rFonts w:ascii="Arial" w:hAnsi="Arial" w:cs="Arial"/>
          <w:sz w:val="20"/>
          <w:szCs w:val="20"/>
        </w:rPr>
        <w:t xml:space="preserve">number of </w:t>
      </w:r>
      <w:r w:rsidR="00C737D6" w:rsidRPr="00AB60A8">
        <w:rPr>
          <w:rFonts w:ascii="Arial" w:hAnsi="Arial" w:cs="Arial"/>
          <w:sz w:val="20"/>
          <w:szCs w:val="20"/>
        </w:rPr>
        <w:t>deaths, the taking of hostages</w:t>
      </w:r>
      <w:r w:rsidR="009E2220">
        <w:rPr>
          <w:rFonts w:ascii="Arial" w:hAnsi="Arial" w:cs="Arial"/>
          <w:sz w:val="20"/>
          <w:szCs w:val="20"/>
        </w:rPr>
        <w:t xml:space="preserve"> and</w:t>
      </w:r>
      <w:r w:rsidR="00C737D6" w:rsidRPr="00AB60A8">
        <w:rPr>
          <w:rFonts w:ascii="Arial" w:hAnsi="Arial" w:cs="Arial"/>
          <w:sz w:val="20"/>
          <w:szCs w:val="20"/>
        </w:rPr>
        <w:t xml:space="preserve"> escalating violence, leading to a worsening humanitarian crisis in Gaza, exacerbated by dire living conditions and restricted access to essential resources</w:t>
      </w:r>
      <w:r w:rsidR="001C2840">
        <w:rPr>
          <w:rFonts w:ascii="Arial" w:hAnsi="Arial" w:cs="Arial"/>
          <w:sz w:val="20"/>
          <w:szCs w:val="20"/>
        </w:rPr>
        <w:t>,</w:t>
      </w:r>
    </w:p>
    <w:p w14:paraId="440AFB25" w14:textId="77777777" w:rsidR="007D0847" w:rsidRPr="004F6AAB" w:rsidRDefault="007D0847" w:rsidP="00647B22">
      <w:pPr>
        <w:pStyle w:val="Paragraphedeliste"/>
        <w:tabs>
          <w:tab w:val="left" w:pos="1134"/>
        </w:tabs>
        <w:spacing w:after="0" w:line="240" w:lineRule="auto"/>
        <w:ind w:left="0"/>
        <w:rPr>
          <w:rFonts w:ascii="Arial" w:hAnsi="Arial" w:cs="Arial"/>
          <w:sz w:val="16"/>
          <w:szCs w:val="16"/>
        </w:rPr>
      </w:pPr>
    </w:p>
    <w:p w14:paraId="1E629B33" w14:textId="53F1C7A9" w:rsidR="007D0847" w:rsidRPr="00AB60A8" w:rsidRDefault="007D0847" w:rsidP="00647B22">
      <w:pPr>
        <w:pStyle w:val="Paragraphedeliste"/>
        <w:tabs>
          <w:tab w:val="left" w:pos="1134"/>
        </w:tabs>
        <w:spacing w:after="0" w:line="240" w:lineRule="auto"/>
        <w:ind w:left="0"/>
        <w:rPr>
          <w:rFonts w:ascii="Arial" w:hAnsi="Arial" w:cs="Arial"/>
          <w:sz w:val="20"/>
          <w:szCs w:val="20"/>
        </w:rPr>
      </w:pPr>
      <w:r w:rsidRPr="00AB60A8">
        <w:rPr>
          <w:rFonts w:ascii="Arial" w:hAnsi="Arial" w:cs="Arial"/>
          <w:sz w:val="20"/>
          <w:szCs w:val="20"/>
        </w:rPr>
        <w:t>(</w:t>
      </w:r>
      <w:r>
        <w:rPr>
          <w:rFonts w:ascii="Arial" w:hAnsi="Arial" w:cs="Arial"/>
          <w:sz w:val="20"/>
          <w:szCs w:val="20"/>
        </w:rPr>
        <w:t>4</w:t>
      </w:r>
      <w:r w:rsidRPr="00AB60A8">
        <w:rPr>
          <w:rFonts w:ascii="Arial" w:hAnsi="Arial" w:cs="Arial"/>
          <w:sz w:val="20"/>
          <w:szCs w:val="20"/>
        </w:rPr>
        <w:t>)</w:t>
      </w:r>
      <w:r w:rsidRPr="00AB60A8">
        <w:rPr>
          <w:rFonts w:ascii="Arial" w:hAnsi="Arial" w:cs="Arial"/>
          <w:sz w:val="20"/>
          <w:szCs w:val="20"/>
        </w:rPr>
        <w:tab/>
      </w:r>
      <w:r w:rsidRPr="00AB60A8">
        <w:rPr>
          <w:rFonts w:ascii="Arial" w:hAnsi="Arial" w:cs="Arial"/>
          <w:i/>
          <w:iCs/>
          <w:sz w:val="20"/>
          <w:szCs w:val="20"/>
        </w:rPr>
        <w:t>Firmly believing</w:t>
      </w:r>
      <w:r w:rsidRPr="00AB60A8">
        <w:rPr>
          <w:rFonts w:ascii="Arial" w:hAnsi="Arial" w:cs="Arial"/>
          <w:sz w:val="20"/>
          <w:szCs w:val="20"/>
        </w:rPr>
        <w:t xml:space="preserve"> that the Israeli-Palestinian conflict extends beyond being a regional issue, </w:t>
      </w:r>
      <w:r>
        <w:rPr>
          <w:rFonts w:ascii="Arial" w:hAnsi="Arial" w:cs="Arial"/>
          <w:sz w:val="20"/>
          <w:szCs w:val="20"/>
        </w:rPr>
        <w:t>and that</w:t>
      </w:r>
      <w:r w:rsidRPr="00AB60A8">
        <w:rPr>
          <w:rFonts w:ascii="Arial" w:hAnsi="Arial" w:cs="Arial"/>
          <w:sz w:val="20"/>
          <w:szCs w:val="20"/>
        </w:rPr>
        <w:t xml:space="preserve"> its repercussions</w:t>
      </w:r>
      <w:r>
        <w:rPr>
          <w:rFonts w:ascii="Arial" w:hAnsi="Arial" w:cs="Arial"/>
          <w:sz w:val="20"/>
          <w:szCs w:val="20"/>
        </w:rPr>
        <w:t xml:space="preserve"> are being</w:t>
      </w:r>
      <w:r w:rsidRPr="00AB60A8">
        <w:rPr>
          <w:rFonts w:ascii="Arial" w:hAnsi="Arial" w:cs="Arial"/>
          <w:sz w:val="20"/>
          <w:szCs w:val="20"/>
        </w:rPr>
        <w:t xml:space="preserve"> felt globally, including the export of tensions to other parts of the world, fuelling divisions within communities, influencing international relations, weakening international law</w:t>
      </w:r>
      <w:r>
        <w:rPr>
          <w:rFonts w:ascii="Arial" w:hAnsi="Arial" w:cs="Arial"/>
          <w:sz w:val="20"/>
          <w:szCs w:val="20"/>
        </w:rPr>
        <w:t>,</w:t>
      </w:r>
      <w:r w:rsidRPr="00AB60A8">
        <w:rPr>
          <w:rFonts w:ascii="Arial" w:hAnsi="Arial" w:cs="Arial"/>
          <w:sz w:val="20"/>
          <w:szCs w:val="20"/>
        </w:rPr>
        <w:t xml:space="preserve"> including international humanitarian law, and impacting global peace and security, while complicating efforts towards multilateral cooperation</w:t>
      </w:r>
      <w:r>
        <w:rPr>
          <w:rFonts w:ascii="Arial" w:hAnsi="Arial" w:cs="Arial"/>
          <w:sz w:val="20"/>
          <w:szCs w:val="20"/>
        </w:rPr>
        <w:t>,</w:t>
      </w:r>
    </w:p>
    <w:p w14:paraId="30DF590E" w14:textId="52EE7DEF" w:rsidR="007D0847" w:rsidRPr="004F6AAB" w:rsidRDefault="007D0847" w:rsidP="00647B22">
      <w:pPr>
        <w:pStyle w:val="Paragraphedeliste"/>
        <w:tabs>
          <w:tab w:val="left" w:pos="1134"/>
        </w:tabs>
        <w:spacing w:after="0" w:line="240" w:lineRule="auto"/>
        <w:ind w:left="0"/>
        <w:rPr>
          <w:rFonts w:ascii="Arial" w:hAnsi="Arial" w:cs="Arial"/>
          <w:sz w:val="16"/>
          <w:szCs w:val="16"/>
        </w:rPr>
      </w:pPr>
    </w:p>
    <w:p w14:paraId="2E1EF422" w14:textId="77777777" w:rsidR="007D0847" w:rsidRDefault="007D0847" w:rsidP="00647B22">
      <w:pPr>
        <w:pStyle w:val="Paragraphedeliste"/>
        <w:tabs>
          <w:tab w:val="left" w:pos="1134"/>
        </w:tabs>
        <w:spacing w:after="0" w:line="240" w:lineRule="auto"/>
        <w:ind w:left="0"/>
        <w:rPr>
          <w:rFonts w:ascii="Arial" w:hAnsi="Arial" w:cs="Arial"/>
          <w:sz w:val="20"/>
          <w:szCs w:val="20"/>
        </w:rPr>
      </w:pPr>
      <w:r w:rsidRPr="00AB60A8">
        <w:rPr>
          <w:rFonts w:ascii="Arial" w:hAnsi="Arial" w:cs="Arial"/>
          <w:sz w:val="20"/>
          <w:szCs w:val="20"/>
        </w:rPr>
        <w:t>(</w:t>
      </w:r>
      <w:r>
        <w:rPr>
          <w:rFonts w:ascii="Arial" w:hAnsi="Arial" w:cs="Arial"/>
          <w:sz w:val="20"/>
          <w:szCs w:val="20"/>
        </w:rPr>
        <w:t>5</w:t>
      </w:r>
      <w:r w:rsidRPr="00AB60A8">
        <w:rPr>
          <w:rFonts w:ascii="Arial" w:hAnsi="Arial" w:cs="Arial"/>
          <w:sz w:val="20"/>
          <w:szCs w:val="20"/>
        </w:rPr>
        <w:t>)</w:t>
      </w:r>
      <w:r w:rsidRPr="00AB60A8">
        <w:rPr>
          <w:rFonts w:ascii="Arial" w:hAnsi="Arial" w:cs="Arial"/>
          <w:sz w:val="20"/>
          <w:szCs w:val="20"/>
        </w:rPr>
        <w:tab/>
      </w:r>
      <w:r w:rsidRPr="00AB60A8">
        <w:rPr>
          <w:rFonts w:ascii="Arial" w:hAnsi="Arial" w:cs="Arial"/>
          <w:i/>
          <w:iCs/>
          <w:sz w:val="20"/>
          <w:szCs w:val="20"/>
        </w:rPr>
        <w:t>Expressing deep concern</w:t>
      </w:r>
      <w:r w:rsidRPr="00AB60A8">
        <w:rPr>
          <w:rFonts w:ascii="Arial" w:hAnsi="Arial" w:cs="Arial"/>
          <w:sz w:val="20"/>
          <w:szCs w:val="20"/>
        </w:rPr>
        <w:t xml:space="preserve"> over the ongoing occupation of Palestinian territories and the expansion of Israeli settlements in violation of international law and the prohibition of territorial acquisition by force, in contradiction </w:t>
      </w:r>
      <w:r>
        <w:rPr>
          <w:rFonts w:ascii="Arial" w:hAnsi="Arial" w:cs="Arial"/>
          <w:sz w:val="20"/>
          <w:szCs w:val="20"/>
        </w:rPr>
        <w:t>to</w:t>
      </w:r>
      <w:r w:rsidRPr="00AB60A8">
        <w:rPr>
          <w:rFonts w:ascii="Arial" w:hAnsi="Arial" w:cs="Arial"/>
          <w:sz w:val="20"/>
          <w:szCs w:val="20"/>
        </w:rPr>
        <w:t xml:space="preserve"> the principles of self-determination and territorial integrity enshrined in the </w:t>
      </w:r>
      <w:r>
        <w:rPr>
          <w:rFonts w:ascii="Arial" w:hAnsi="Arial" w:cs="Arial"/>
          <w:sz w:val="20"/>
          <w:szCs w:val="20"/>
        </w:rPr>
        <w:t xml:space="preserve">Charter of the </w:t>
      </w:r>
      <w:r w:rsidRPr="00AB60A8">
        <w:rPr>
          <w:rFonts w:ascii="Arial" w:hAnsi="Arial" w:cs="Arial"/>
          <w:sz w:val="20"/>
          <w:szCs w:val="20"/>
        </w:rPr>
        <w:t>United Nations</w:t>
      </w:r>
      <w:r>
        <w:rPr>
          <w:rFonts w:ascii="Arial" w:hAnsi="Arial" w:cs="Arial"/>
          <w:sz w:val="20"/>
          <w:szCs w:val="20"/>
        </w:rPr>
        <w:t>,</w:t>
      </w:r>
    </w:p>
    <w:p w14:paraId="17E5B47F" w14:textId="77777777" w:rsidR="007D0847" w:rsidRPr="004F6AAB" w:rsidRDefault="007D0847" w:rsidP="00647B22">
      <w:pPr>
        <w:pStyle w:val="Paragraphedeliste"/>
        <w:tabs>
          <w:tab w:val="left" w:pos="1134"/>
        </w:tabs>
        <w:spacing w:after="0" w:line="240" w:lineRule="auto"/>
        <w:ind w:left="0"/>
        <w:rPr>
          <w:rFonts w:ascii="Arial" w:hAnsi="Arial" w:cs="Arial"/>
          <w:sz w:val="16"/>
          <w:szCs w:val="16"/>
        </w:rPr>
      </w:pPr>
    </w:p>
    <w:p w14:paraId="5B43FFBE" w14:textId="77777777" w:rsidR="003B53E7" w:rsidRDefault="007D0847" w:rsidP="00647B22">
      <w:pPr>
        <w:pStyle w:val="Paragraphedeliste"/>
        <w:tabs>
          <w:tab w:val="left" w:pos="1134"/>
        </w:tabs>
        <w:spacing w:after="0" w:line="240" w:lineRule="auto"/>
        <w:ind w:left="0"/>
        <w:rPr>
          <w:rFonts w:ascii="Arial" w:hAnsi="Arial" w:cs="Arial"/>
          <w:sz w:val="20"/>
          <w:szCs w:val="20"/>
        </w:rPr>
        <w:sectPr w:rsidR="003B53E7" w:rsidSect="00AE7A42">
          <w:headerReference w:type="default" r:id="rId22"/>
          <w:footerReference w:type="default" r:id="rId23"/>
          <w:pgSz w:w="11906" w:h="16838" w:code="9"/>
          <w:pgMar w:top="2835" w:right="680" w:bottom="816" w:left="1928" w:header="709" w:footer="709" w:gutter="0"/>
          <w:cols w:space="708"/>
          <w:docGrid w:linePitch="360"/>
        </w:sectPr>
      </w:pPr>
      <w:r w:rsidRPr="00AB60A8">
        <w:rPr>
          <w:rFonts w:ascii="Arial" w:hAnsi="Arial" w:cs="Arial"/>
          <w:sz w:val="20"/>
          <w:szCs w:val="20"/>
        </w:rPr>
        <w:t>(</w:t>
      </w:r>
      <w:r>
        <w:rPr>
          <w:rFonts w:ascii="Arial" w:hAnsi="Arial" w:cs="Arial"/>
          <w:sz w:val="20"/>
          <w:szCs w:val="20"/>
        </w:rPr>
        <w:t>6</w:t>
      </w:r>
      <w:r w:rsidRPr="00AB60A8">
        <w:rPr>
          <w:rFonts w:ascii="Arial" w:hAnsi="Arial" w:cs="Arial"/>
          <w:sz w:val="20"/>
          <w:szCs w:val="20"/>
        </w:rPr>
        <w:t>)</w:t>
      </w:r>
      <w:r w:rsidRPr="00AB60A8">
        <w:rPr>
          <w:rFonts w:ascii="Arial" w:hAnsi="Arial" w:cs="Arial"/>
          <w:sz w:val="20"/>
          <w:szCs w:val="20"/>
        </w:rPr>
        <w:tab/>
      </w:r>
      <w:r w:rsidRPr="00AB60A8">
        <w:rPr>
          <w:rFonts w:ascii="Arial" w:hAnsi="Arial" w:cs="Arial"/>
          <w:i/>
          <w:iCs/>
          <w:sz w:val="20"/>
          <w:szCs w:val="20"/>
        </w:rPr>
        <w:t>Reaffirming</w:t>
      </w:r>
      <w:r w:rsidRPr="00AB60A8">
        <w:rPr>
          <w:rFonts w:ascii="Arial" w:hAnsi="Arial" w:cs="Arial"/>
          <w:sz w:val="20"/>
          <w:szCs w:val="20"/>
        </w:rPr>
        <w:t xml:space="preserve"> the right of the Palestinian people to self-determination and statehood based on the 1967 borders within the framework of a two-</w:t>
      </w:r>
      <w:r>
        <w:rPr>
          <w:rFonts w:ascii="Arial" w:hAnsi="Arial" w:cs="Arial"/>
          <w:sz w:val="20"/>
          <w:szCs w:val="20"/>
        </w:rPr>
        <w:t>S</w:t>
      </w:r>
      <w:r w:rsidRPr="00AB60A8">
        <w:rPr>
          <w:rFonts w:ascii="Arial" w:hAnsi="Arial" w:cs="Arial"/>
          <w:sz w:val="20"/>
          <w:szCs w:val="20"/>
        </w:rPr>
        <w:t>tate solution, as well as the critical role of the International Court of Justice (</w:t>
      </w:r>
      <w:proofErr w:type="spellStart"/>
      <w:r w:rsidRPr="00AB60A8">
        <w:rPr>
          <w:rFonts w:ascii="Arial" w:hAnsi="Arial" w:cs="Arial"/>
          <w:sz w:val="20"/>
          <w:szCs w:val="20"/>
        </w:rPr>
        <w:t>ICJ</w:t>
      </w:r>
      <w:proofErr w:type="spellEnd"/>
      <w:r w:rsidRPr="00AB60A8">
        <w:rPr>
          <w:rFonts w:ascii="Arial" w:hAnsi="Arial" w:cs="Arial"/>
          <w:sz w:val="20"/>
          <w:szCs w:val="20"/>
        </w:rPr>
        <w:t>) in upholding international legal norms and providing advisory opinions on the legal implications of occupation and settlement activities</w:t>
      </w:r>
      <w:r>
        <w:rPr>
          <w:rFonts w:ascii="Arial" w:hAnsi="Arial" w:cs="Arial"/>
          <w:sz w:val="20"/>
          <w:szCs w:val="20"/>
        </w:rPr>
        <w:t>,</w:t>
      </w:r>
    </w:p>
    <w:p w14:paraId="3DB1B147" w14:textId="77777777" w:rsidR="007D0847" w:rsidRDefault="007D0847" w:rsidP="00647B22">
      <w:pPr>
        <w:tabs>
          <w:tab w:val="left" w:pos="1134"/>
        </w:tabs>
        <w:spacing w:after="0" w:line="240" w:lineRule="auto"/>
        <w:rPr>
          <w:rFonts w:ascii="Arial" w:hAnsi="Arial" w:cs="Arial"/>
          <w:sz w:val="20"/>
          <w:szCs w:val="20"/>
        </w:rPr>
      </w:pPr>
      <w:r w:rsidRPr="00C44314">
        <w:rPr>
          <w:rFonts w:ascii="Arial" w:hAnsi="Arial" w:cs="Arial"/>
          <w:sz w:val="20"/>
          <w:szCs w:val="20"/>
        </w:rPr>
        <w:lastRenderedPageBreak/>
        <w:t>(7)</w:t>
      </w:r>
      <w:r w:rsidRPr="00C44314">
        <w:rPr>
          <w:rFonts w:ascii="Arial" w:hAnsi="Arial" w:cs="Arial"/>
          <w:sz w:val="20"/>
          <w:szCs w:val="20"/>
        </w:rPr>
        <w:tab/>
      </w:r>
      <w:r w:rsidRPr="00C44314">
        <w:rPr>
          <w:rFonts w:ascii="Arial" w:hAnsi="Arial" w:cs="Arial"/>
          <w:i/>
          <w:iCs/>
          <w:sz w:val="20"/>
          <w:szCs w:val="20"/>
        </w:rPr>
        <w:t>Deeply concerned</w:t>
      </w:r>
      <w:r w:rsidRPr="00C44314">
        <w:rPr>
          <w:rFonts w:ascii="Arial" w:hAnsi="Arial" w:cs="Arial"/>
          <w:sz w:val="20"/>
          <w:szCs w:val="20"/>
        </w:rPr>
        <w:t xml:space="preserve"> by the grave violations of the fundamental rights, dignity and safety of civilians</w:t>
      </w:r>
      <w:r>
        <w:rPr>
          <w:rFonts w:ascii="Arial" w:hAnsi="Arial" w:cs="Arial"/>
          <w:sz w:val="20"/>
          <w:szCs w:val="20"/>
        </w:rPr>
        <w:t xml:space="preserve"> –</w:t>
      </w:r>
      <w:r w:rsidRPr="00C44314">
        <w:rPr>
          <w:rFonts w:ascii="Arial" w:hAnsi="Arial" w:cs="Arial"/>
          <w:sz w:val="20"/>
          <w:szCs w:val="20"/>
        </w:rPr>
        <w:t xml:space="preserve"> with children, women and girls</w:t>
      </w:r>
      <w:r>
        <w:rPr>
          <w:rFonts w:ascii="Arial" w:hAnsi="Arial" w:cs="Arial"/>
          <w:sz w:val="20"/>
          <w:szCs w:val="20"/>
        </w:rPr>
        <w:t>,</w:t>
      </w:r>
      <w:r w:rsidRPr="00C44314">
        <w:rPr>
          <w:rFonts w:ascii="Arial" w:hAnsi="Arial" w:cs="Arial"/>
          <w:sz w:val="20"/>
          <w:szCs w:val="20"/>
        </w:rPr>
        <w:t xml:space="preserve"> as well as people with disabilities</w:t>
      </w:r>
      <w:r>
        <w:rPr>
          <w:rFonts w:ascii="Arial" w:hAnsi="Arial" w:cs="Arial"/>
          <w:sz w:val="20"/>
          <w:szCs w:val="20"/>
        </w:rPr>
        <w:t>,</w:t>
      </w:r>
      <w:r w:rsidRPr="00C44314">
        <w:rPr>
          <w:rFonts w:ascii="Arial" w:hAnsi="Arial" w:cs="Arial"/>
          <w:sz w:val="20"/>
          <w:szCs w:val="20"/>
        </w:rPr>
        <w:t xml:space="preserve"> bearing </w:t>
      </w:r>
      <w:r>
        <w:rPr>
          <w:rFonts w:ascii="Arial" w:hAnsi="Arial" w:cs="Arial"/>
          <w:sz w:val="20"/>
          <w:szCs w:val="20"/>
        </w:rPr>
        <w:t>a particular</w:t>
      </w:r>
      <w:r w:rsidRPr="00C44314">
        <w:rPr>
          <w:rFonts w:ascii="Arial" w:hAnsi="Arial" w:cs="Arial"/>
          <w:sz w:val="20"/>
          <w:szCs w:val="20"/>
        </w:rPr>
        <w:t xml:space="preserve"> burden as the most vulnerable members of affected communities</w:t>
      </w:r>
      <w:r>
        <w:rPr>
          <w:rFonts w:ascii="Arial" w:hAnsi="Arial" w:cs="Arial"/>
          <w:sz w:val="20"/>
          <w:szCs w:val="20"/>
        </w:rPr>
        <w:t xml:space="preserve"> –</w:t>
      </w:r>
      <w:r w:rsidRPr="00C44314">
        <w:rPr>
          <w:rFonts w:ascii="Arial" w:hAnsi="Arial" w:cs="Arial"/>
          <w:sz w:val="20"/>
          <w:szCs w:val="20"/>
        </w:rPr>
        <w:t xml:space="preserve"> as the ongoing conflict continues to cause </w:t>
      </w:r>
      <w:r>
        <w:rPr>
          <w:rFonts w:ascii="Arial" w:hAnsi="Arial" w:cs="Arial"/>
          <w:sz w:val="20"/>
          <w:szCs w:val="20"/>
        </w:rPr>
        <w:t xml:space="preserve">population </w:t>
      </w:r>
      <w:r w:rsidRPr="00C44314">
        <w:rPr>
          <w:rFonts w:ascii="Arial" w:hAnsi="Arial" w:cs="Arial"/>
          <w:sz w:val="20"/>
          <w:szCs w:val="20"/>
        </w:rPr>
        <w:t>displacement, destroy livelihoods, restrict humanitarian access</w:t>
      </w:r>
      <w:r>
        <w:rPr>
          <w:rFonts w:ascii="Arial" w:hAnsi="Arial" w:cs="Arial"/>
          <w:sz w:val="20"/>
          <w:szCs w:val="20"/>
        </w:rPr>
        <w:t xml:space="preserve"> and</w:t>
      </w:r>
      <w:r w:rsidRPr="00C44314">
        <w:rPr>
          <w:rFonts w:ascii="Arial" w:hAnsi="Arial" w:cs="Arial"/>
          <w:sz w:val="20"/>
          <w:szCs w:val="20"/>
        </w:rPr>
        <w:t xml:space="preserve"> exacerbate inequalities, leaving lasting physical, psychological and socio</w:t>
      </w:r>
      <w:r>
        <w:rPr>
          <w:rFonts w:ascii="Arial" w:hAnsi="Arial" w:cs="Arial"/>
          <w:sz w:val="20"/>
          <w:szCs w:val="20"/>
        </w:rPr>
        <w:t>economic</w:t>
      </w:r>
      <w:r w:rsidRPr="00C44314">
        <w:rPr>
          <w:rFonts w:ascii="Arial" w:hAnsi="Arial" w:cs="Arial"/>
          <w:sz w:val="20"/>
          <w:szCs w:val="20"/>
        </w:rPr>
        <w:t xml:space="preserve"> impacts on individuals, families and entire communities</w:t>
      </w:r>
      <w:r>
        <w:rPr>
          <w:rFonts w:ascii="Arial" w:hAnsi="Arial" w:cs="Arial"/>
          <w:sz w:val="20"/>
          <w:szCs w:val="20"/>
        </w:rPr>
        <w:t>,</w:t>
      </w:r>
    </w:p>
    <w:p w14:paraId="2995BC28" w14:textId="77777777" w:rsidR="003B53E7" w:rsidRPr="003B53E7" w:rsidRDefault="003B53E7" w:rsidP="00647B22">
      <w:pPr>
        <w:tabs>
          <w:tab w:val="left" w:pos="1134"/>
        </w:tabs>
        <w:spacing w:after="0" w:line="240" w:lineRule="auto"/>
        <w:rPr>
          <w:rFonts w:ascii="Arial" w:hAnsi="Arial" w:cs="Arial"/>
          <w:sz w:val="10"/>
          <w:szCs w:val="10"/>
        </w:rPr>
      </w:pPr>
    </w:p>
    <w:p w14:paraId="4CCB90B5" w14:textId="48B13B42" w:rsidR="00C737D6" w:rsidRPr="00C44314" w:rsidRDefault="009911F3" w:rsidP="00647B22">
      <w:pPr>
        <w:pStyle w:val="Paragraphedeliste"/>
        <w:tabs>
          <w:tab w:val="left" w:pos="1134"/>
        </w:tabs>
        <w:spacing w:after="0" w:line="240" w:lineRule="auto"/>
        <w:ind w:left="0"/>
        <w:rPr>
          <w:rFonts w:ascii="Arial" w:hAnsi="Arial" w:cs="Arial"/>
          <w:sz w:val="20"/>
          <w:szCs w:val="20"/>
        </w:rPr>
      </w:pPr>
      <w:r w:rsidRPr="00C44314">
        <w:rPr>
          <w:rFonts w:ascii="Arial" w:hAnsi="Arial" w:cs="Arial"/>
          <w:sz w:val="20"/>
          <w:szCs w:val="20"/>
        </w:rPr>
        <w:t>(</w:t>
      </w:r>
      <w:r w:rsidR="00C44314" w:rsidRPr="00C44314">
        <w:rPr>
          <w:rFonts w:ascii="Arial" w:hAnsi="Arial" w:cs="Arial"/>
          <w:sz w:val="20"/>
          <w:szCs w:val="20"/>
        </w:rPr>
        <w:t>8</w:t>
      </w:r>
      <w:r w:rsidRPr="00C44314">
        <w:rPr>
          <w:rFonts w:ascii="Arial" w:hAnsi="Arial" w:cs="Arial"/>
          <w:sz w:val="20"/>
          <w:szCs w:val="20"/>
        </w:rPr>
        <w:t>)</w:t>
      </w:r>
      <w:r w:rsidRPr="00C44314">
        <w:rPr>
          <w:rFonts w:ascii="Arial" w:hAnsi="Arial" w:cs="Arial"/>
          <w:sz w:val="20"/>
          <w:szCs w:val="20"/>
        </w:rPr>
        <w:tab/>
      </w:r>
      <w:r w:rsidR="00C737D6" w:rsidRPr="00C44314">
        <w:rPr>
          <w:rFonts w:ascii="Arial" w:hAnsi="Arial" w:cs="Arial"/>
          <w:i/>
          <w:iCs/>
          <w:sz w:val="20"/>
          <w:szCs w:val="20"/>
        </w:rPr>
        <w:t>Recognizing</w:t>
      </w:r>
      <w:r w:rsidR="00C737D6" w:rsidRPr="00C44314">
        <w:rPr>
          <w:rFonts w:ascii="Arial" w:hAnsi="Arial" w:cs="Arial"/>
          <w:sz w:val="20"/>
          <w:szCs w:val="20"/>
        </w:rPr>
        <w:t xml:space="preserve"> that acts of violence, terrorism against civilians and the use of starvation as a method of warfare constitute serious breaches of international humanitarian law and that </w:t>
      </w:r>
      <w:r w:rsidR="003C2CF2">
        <w:rPr>
          <w:rFonts w:ascii="Arial" w:hAnsi="Arial" w:cs="Arial"/>
          <w:sz w:val="20"/>
          <w:szCs w:val="20"/>
        </w:rPr>
        <w:t>S</w:t>
      </w:r>
      <w:r w:rsidR="003C2CF2" w:rsidRPr="00C44314">
        <w:rPr>
          <w:rFonts w:ascii="Arial" w:hAnsi="Arial" w:cs="Arial"/>
          <w:sz w:val="20"/>
          <w:szCs w:val="20"/>
        </w:rPr>
        <w:t xml:space="preserve">tate </w:t>
      </w:r>
      <w:r w:rsidR="00C737D6" w:rsidRPr="00C44314">
        <w:rPr>
          <w:rFonts w:ascii="Arial" w:hAnsi="Arial" w:cs="Arial"/>
          <w:sz w:val="20"/>
          <w:szCs w:val="20"/>
        </w:rPr>
        <w:t>actions must fully comply with human rights obligations and the rule of law</w:t>
      </w:r>
      <w:r w:rsidR="001C2840">
        <w:rPr>
          <w:rFonts w:ascii="Arial" w:hAnsi="Arial" w:cs="Arial"/>
          <w:sz w:val="20"/>
          <w:szCs w:val="20"/>
        </w:rPr>
        <w:t>,</w:t>
      </w:r>
    </w:p>
    <w:p w14:paraId="0A85BEE8" w14:textId="77777777" w:rsidR="000034B0" w:rsidRPr="003B53E7" w:rsidRDefault="000034B0" w:rsidP="00647B22">
      <w:pPr>
        <w:pStyle w:val="Paragraphedeliste"/>
        <w:tabs>
          <w:tab w:val="left" w:pos="1134"/>
        </w:tabs>
        <w:spacing w:after="0" w:line="240" w:lineRule="auto"/>
        <w:ind w:left="567"/>
        <w:rPr>
          <w:rFonts w:ascii="Arial" w:hAnsi="Arial" w:cs="Arial"/>
          <w:sz w:val="10"/>
          <w:szCs w:val="10"/>
        </w:rPr>
      </w:pPr>
    </w:p>
    <w:p w14:paraId="387B5ECC" w14:textId="0752387B" w:rsidR="00C737D6" w:rsidRPr="00C44314" w:rsidRDefault="009911F3" w:rsidP="00647B22">
      <w:pPr>
        <w:pStyle w:val="Paragraphedeliste"/>
        <w:tabs>
          <w:tab w:val="left" w:pos="1134"/>
        </w:tabs>
        <w:spacing w:after="0" w:line="240" w:lineRule="auto"/>
        <w:ind w:left="0"/>
        <w:rPr>
          <w:rFonts w:ascii="Arial" w:hAnsi="Arial" w:cs="Arial"/>
          <w:sz w:val="20"/>
          <w:szCs w:val="20"/>
        </w:rPr>
      </w:pPr>
      <w:bookmarkStart w:id="10" w:name="_Hlk184820721"/>
      <w:r w:rsidRPr="00C44314">
        <w:rPr>
          <w:rFonts w:ascii="Arial" w:hAnsi="Arial" w:cs="Arial"/>
          <w:sz w:val="20"/>
          <w:szCs w:val="20"/>
        </w:rPr>
        <w:t>(</w:t>
      </w:r>
      <w:r w:rsidR="00C44314" w:rsidRPr="00C44314">
        <w:rPr>
          <w:rFonts w:ascii="Arial" w:hAnsi="Arial" w:cs="Arial"/>
          <w:sz w:val="20"/>
          <w:szCs w:val="20"/>
        </w:rPr>
        <w:t>9</w:t>
      </w:r>
      <w:r w:rsidRPr="00C44314">
        <w:rPr>
          <w:rFonts w:ascii="Arial" w:hAnsi="Arial" w:cs="Arial"/>
          <w:sz w:val="20"/>
          <w:szCs w:val="20"/>
        </w:rPr>
        <w:t>)</w:t>
      </w:r>
      <w:r w:rsidRPr="00C44314">
        <w:rPr>
          <w:rFonts w:ascii="Arial" w:hAnsi="Arial" w:cs="Arial"/>
          <w:sz w:val="20"/>
          <w:szCs w:val="20"/>
        </w:rPr>
        <w:tab/>
      </w:r>
      <w:r w:rsidR="00C737D6" w:rsidRPr="00C44314">
        <w:rPr>
          <w:rFonts w:ascii="Arial" w:hAnsi="Arial" w:cs="Arial"/>
          <w:i/>
          <w:iCs/>
          <w:sz w:val="20"/>
          <w:szCs w:val="20"/>
        </w:rPr>
        <w:t>Deeply convinced</w:t>
      </w:r>
      <w:r w:rsidR="00C737D6" w:rsidRPr="00C44314">
        <w:rPr>
          <w:rFonts w:ascii="Arial" w:hAnsi="Arial" w:cs="Arial"/>
          <w:sz w:val="20"/>
          <w:szCs w:val="20"/>
        </w:rPr>
        <w:t xml:space="preserve"> that a two-</w:t>
      </w:r>
      <w:r w:rsidR="003C2CF2">
        <w:rPr>
          <w:rFonts w:ascii="Arial" w:hAnsi="Arial" w:cs="Arial"/>
          <w:sz w:val="20"/>
          <w:szCs w:val="20"/>
        </w:rPr>
        <w:t>S</w:t>
      </w:r>
      <w:r w:rsidR="003C2CF2" w:rsidRPr="00C44314">
        <w:rPr>
          <w:rFonts w:ascii="Arial" w:hAnsi="Arial" w:cs="Arial"/>
          <w:sz w:val="20"/>
          <w:szCs w:val="20"/>
        </w:rPr>
        <w:t xml:space="preserve">tate </w:t>
      </w:r>
      <w:r w:rsidR="00C737D6" w:rsidRPr="00C44314">
        <w:rPr>
          <w:rFonts w:ascii="Arial" w:hAnsi="Arial" w:cs="Arial"/>
          <w:sz w:val="20"/>
          <w:szCs w:val="20"/>
        </w:rPr>
        <w:t>solution is the only viable path to break the cycle of violence and ensure security, prosperity and equal rights for the peoples of Israel and Palestine, in line with international law and the principles of self-determination and territorial integrity, and that key steps towards this goal include an immediate ceasefire in Gaza</w:t>
      </w:r>
      <w:r w:rsidR="00C737D6" w:rsidRPr="007D0847">
        <w:rPr>
          <w:rFonts w:ascii="Arial" w:hAnsi="Arial" w:cs="Arial"/>
          <w:sz w:val="20"/>
          <w:szCs w:val="20"/>
        </w:rPr>
        <w:t>,</w:t>
      </w:r>
      <w:r w:rsidR="00C737D6" w:rsidRPr="00C44314">
        <w:rPr>
          <w:rFonts w:ascii="Arial" w:hAnsi="Arial" w:cs="Arial"/>
          <w:sz w:val="20"/>
          <w:szCs w:val="20"/>
        </w:rPr>
        <w:t xml:space="preserve"> </w:t>
      </w:r>
      <w:r w:rsidR="008E7BDE" w:rsidRPr="00C44314">
        <w:rPr>
          <w:rFonts w:ascii="Arial" w:hAnsi="Arial" w:cs="Arial"/>
          <w:sz w:val="20"/>
          <w:szCs w:val="20"/>
        </w:rPr>
        <w:t xml:space="preserve">leading in particular to </w:t>
      </w:r>
      <w:r w:rsidR="00C737D6" w:rsidRPr="00C44314">
        <w:rPr>
          <w:rFonts w:ascii="Arial" w:hAnsi="Arial" w:cs="Arial"/>
          <w:sz w:val="20"/>
          <w:szCs w:val="20"/>
        </w:rPr>
        <w:t>the release of hostages</w:t>
      </w:r>
      <w:r w:rsidR="00862204" w:rsidRPr="00C44314">
        <w:rPr>
          <w:rFonts w:ascii="Arial" w:hAnsi="Arial" w:cs="Arial"/>
          <w:sz w:val="20"/>
          <w:szCs w:val="20"/>
        </w:rPr>
        <w:t xml:space="preserve"> and political prisoners</w:t>
      </w:r>
      <w:r w:rsidR="00C737D6" w:rsidRPr="00C44314">
        <w:rPr>
          <w:rFonts w:ascii="Arial" w:hAnsi="Arial" w:cs="Arial"/>
          <w:sz w:val="20"/>
          <w:szCs w:val="20"/>
        </w:rPr>
        <w:t>, the universal recognition of Palestinian and Israeli statehood and the cessation of illegal settlement activities, as peace cannot be achieved through force or occupation</w:t>
      </w:r>
      <w:r w:rsidR="001C2840">
        <w:rPr>
          <w:rFonts w:ascii="Arial" w:hAnsi="Arial" w:cs="Arial"/>
          <w:sz w:val="20"/>
          <w:szCs w:val="20"/>
        </w:rPr>
        <w:t>,</w:t>
      </w:r>
    </w:p>
    <w:p w14:paraId="23DBF104" w14:textId="77777777" w:rsidR="00862204" w:rsidRPr="003B53E7" w:rsidRDefault="00862204" w:rsidP="00647B22">
      <w:pPr>
        <w:tabs>
          <w:tab w:val="left" w:pos="1134"/>
        </w:tabs>
        <w:spacing w:after="0" w:line="240" w:lineRule="auto"/>
        <w:rPr>
          <w:rFonts w:ascii="Arial" w:hAnsi="Arial" w:cs="Arial"/>
          <w:sz w:val="10"/>
          <w:szCs w:val="10"/>
        </w:rPr>
      </w:pPr>
    </w:p>
    <w:bookmarkEnd w:id="10"/>
    <w:p w14:paraId="6FF0994A" w14:textId="7A5AF228" w:rsidR="00C737D6" w:rsidRDefault="009911F3" w:rsidP="00647B22">
      <w:pPr>
        <w:pStyle w:val="Paragraphedeliste"/>
        <w:tabs>
          <w:tab w:val="left" w:pos="1134"/>
        </w:tabs>
        <w:spacing w:after="0" w:line="240" w:lineRule="auto"/>
        <w:ind w:left="0"/>
        <w:rPr>
          <w:rFonts w:ascii="Arial" w:hAnsi="Arial" w:cs="Arial"/>
          <w:sz w:val="20"/>
          <w:szCs w:val="20"/>
        </w:rPr>
      </w:pPr>
      <w:r w:rsidRPr="00C44314">
        <w:rPr>
          <w:rFonts w:ascii="Arial" w:hAnsi="Arial" w:cs="Arial"/>
          <w:sz w:val="20"/>
          <w:szCs w:val="20"/>
        </w:rPr>
        <w:t>(1</w:t>
      </w:r>
      <w:r w:rsidR="00C44314" w:rsidRPr="00C44314">
        <w:rPr>
          <w:rFonts w:ascii="Arial" w:hAnsi="Arial" w:cs="Arial"/>
          <w:sz w:val="20"/>
          <w:szCs w:val="20"/>
        </w:rPr>
        <w:t>0</w:t>
      </w:r>
      <w:r w:rsidRPr="00C44314">
        <w:rPr>
          <w:rFonts w:ascii="Arial" w:hAnsi="Arial" w:cs="Arial"/>
          <w:sz w:val="20"/>
          <w:szCs w:val="20"/>
        </w:rPr>
        <w:t>)</w:t>
      </w:r>
      <w:r w:rsidRPr="00C44314">
        <w:rPr>
          <w:rFonts w:ascii="Arial" w:hAnsi="Arial" w:cs="Arial"/>
          <w:sz w:val="20"/>
          <w:szCs w:val="20"/>
        </w:rPr>
        <w:tab/>
      </w:r>
      <w:r w:rsidR="00C737D6" w:rsidRPr="00C44314">
        <w:rPr>
          <w:rFonts w:ascii="Arial" w:hAnsi="Arial" w:cs="Arial"/>
          <w:i/>
          <w:iCs/>
          <w:sz w:val="20"/>
          <w:szCs w:val="20"/>
        </w:rPr>
        <w:t>Highlighting</w:t>
      </w:r>
      <w:r w:rsidR="00C737D6" w:rsidRPr="00C44314">
        <w:rPr>
          <w:rFonts w:ascii="Arial" w:hAnsi="Arial" w:cs="Arial"/>
          <w:sz w:val="20"/>
          <w:szCs w:val="20"/>
        </w:rPr>
        <w:t xml:space="preserve"> the unique role of parliaments</w:t>
      </w:r>
      <w:r w:rsidR="0082306B" w:rsidRPr="00C44314">
        <w:rPr>
          <w:rFonts w:ascii="Arial" w:hAnsi="Arial" w:cs="Arial"/>
          <w:sz w:val="20"/>
          <w:szCs w:val="20"/>
        </w:rPr>
        <w:t>, including regional parliamentary bodies,</w:t>
      </w:r>
      <w:r w:rsidR="00C737D6" w:rsidRPr="00C44314">
        <w:rPr>
          <w:rFonts w:ascii="Arial" w:hAnsi="Arial" w:cs="Arial"/>
          <w:sz w:val="20"/>
          <w:szCs w:val="20"/>
        </w:rPr>
        <w:t xml:space="preserve"> in advancing dialogue, diplomacy and peacebuilding to support a two-</w:t>
      </w:r>
      <w:r w:rsidR="00DE2CBA">
        <w:rPr>
          <w:rFonts w:ascii="Arial" w:hAnsi="Arial" w:cs="Arial"/>
          <w:sz w:val="20"/>
          <w:szCs w:val="20"/>
        </w:rPr>
        <w:t>S</w:t>
      </w:r>
      <w:r w:rsidR="00DE2CBA" w:rsidRPr="00C44314">
        <w:rPr>
          <w:rFonts w:ascii="Arial" w:hAnsi="Arial" w:cs="Arial"/>
          <w:sz w:val="20"/>
          <w:szCs w:val="20"/>
        </w:rPr>
        <w:t xml:space="preserve">tate </w:t>
      </w:r>
      <w:r w:rsidR="00C737D6" w:rsidRPr="00C44314">
        <w:rPr>
          <w:rFonts w:ascii="Arial" w:hAnsi="Arial" w:cs="Arial"/>
          <w:sz w:val="20"/>
          <w:szCs w:val="20"/>
        </w:rPr>
        <w:t>solution, while making use of their core functions to uphold international law, ensure government accountability, facilitate inclusive debate and consensus-building, promote human rights, protect vulnerable groups, allocate funds for humanitarian aid and reconstruction, and foster international cooperation and parliamentary diplomacy to encourage the peaceful resolution of the conflict</w:t>
      </w:r>
      <w:r w:rsidR="001C2840">
        <w:rPr>
          <w:rFonts w:ascii="Arial" w:hAnsi="Arial" w:cs="Arial"/>
          <w:sz w:val="20"/>
          <w:szCs w:val="20"/>
        </w:rPr>
        <w:t>,</w:t>
      </w:r>
    </w:p>
    <w:p w14:paraId="2BB18FD4" w14:textId="77777777" w:rsidR="007D0847" w:rsidRPr="003B53E7" w:rsidRDefault="007D0847" w:rsidP="00647B22">
      <w:pPr>
        <w:pStyle w:val="Paragraphedeliste"/>
        <w:tabs>
          <w:tab w:val="left" w:pos="1134"/>
        </w:tabs>
        <w:spacing w:after="0" w:line="240" w:lineRule="auto"/>
        <w:ind w:left="0"/>
        <w:rPr>
          <w:rFonts w:ascii="Arial" w:hAnsi="Arial" w:cs="Arial"/>
          <w:sz w:val="10"/>
          <w:szCs w:val="10"/>
        </w:rPr>
      </w:pPr>
    </w:p>
    <w:p w14:paraId="57E98D1E" w14:textId="4005D673" w:rsidR="00C737D6" w:rsidRPr="00C44314" w:rsidRDefault="003C44B3" w:rsidP="00647B22">
      <w:pPr>
        <w:spacing w:after="0" w:line="240" w:lineRule="auto"/>
        <w:ind w:left="1134" w:hanging="567"/>
        <w:rPr>
          <w:rFonts w:ascii="Arial" w:hAnsi="Arial" w:cs="Arial"/>
          <w:sz w:val="20"/>
          <w:szCs w:val="20"/>
        </w:rPr>
      </w:pPr>
      <w:bookmarkStart w:id="11" w:name="_Hlk184898566"/>
      <w:bookmarkEnd w:id="0"/>
      <w:r w:rsidRPr="007D0847">
        <w:rPr>
          <w:rFonts w:ascii="Arial" w:hAnsi="Arial" w:cs="Arial"/>
          <w:sz w:val="20"/>
          <w:szCs w:val="20"/>
        </w:rPr>
        <w:t>1.</w:t>
      </w:r>
      <w:r>
        <w:rPr>
          <w:rFonts w:ascii="Arial" w:hAnsi="Arial" w:cs="Arial"/>
          <w:i/>
          <w:iCs/>
          <w:sz w:val="20"/>
          <w:szCs w:val="20"/>
        </w:rPr>
        <w:tab/>
      </w:r>
      <w:r w:rsidR="00C737D6" w:rsidRPr="00C44314">
        <w:rPr>
          <w:rFonts w:ascii="Arial" w:hAnsi="Arial" w:cs="Arial"/>
          <w:i/>
          <w:iCs/>
          <w:sz w:val="20"/>
          <w:szCs w:val="20"/>
        </w:rPr>
        <w:t>Calls</w:t>
      </w:r>
      <w:r w:rsidR="00C737D6" w:rsidRPr="003B53E7">
        <w:rPr>
          <w:rFonts w:ascii="Arial" w:hAnsi="Arial" w:cs="Arial"/>
          <w:i/>
          <w:iCs/>
          <w:sz w:val="18"/>
          <w:szCs w:val="18"/>
        </w:rPr>
        <w:t xml:space="preserve"> </w:t>
      </w:r>
      <w:r w:rsidR="00C737D6" w:rsidRPr="00C44314">
        <w:rPr>
          <w:rFonts w:ascii="Arial" w:hAnsi="Arial" w:cs="Arial"/>
          <w:i/>
          <w:iCs/>
          <w:sz w:val="20"/>
          <w:szCs w:val="20"/>
        </w:rPr>
        <w:t>on</w:t>
      </w:r>
      <w:r w:rsidR="00C737D6" w:rsidRPr="003B53E7">
        <w:rPr>
          <w:rFonts w:ascii="Arial" w:hAnsi="Arial" w:cs="Arial"/>
          <w:sz w:val="18"/>
          <w:szCs w:val="18"/>
        </w:rPr>
        <w:t xml:space="preserve"> </w:t>
      </w:r>
      <w:r w:rsidR="00DE2CBA">
        <w:rPr>
          <w:rFonts w:ascii="Arial" w:hAnsi="Arial" w:cs="Arial"/>
          <w:sz w:val="20"/>
          <w:szCs w:val="20"/>
        </w:rPr>
        <w:t>p</w:t>
      </w:r>
      <w:r w:rsidR="00DE2CBA" w:rsidRPr="00C44314">
        <w:rPr>
          <w:rFonts w:ascii="Arial" w:hAnsi="Arial" w:cs="Arial"/>
          <w:sz w:val="20"/>
          <w:szCs w:val="20"/>
        </w:rPr>
        <w:t>arliaments</w:t>
      </w:r>
      <w:r w:rsidR="00DE2CBA" w:rsidRPr="003B53E7">
        <w:rPr>
          <w:rFonts w:ascii="Arial" w:hAnsi="Arial" w:cs="Arial"/>
          <w:sz w:val="18"/>
          <w:szCs w:val="18"/>
        </w:rPr>
        <w:t xml:space="preserve"> </w:t>
      </w:r>
      <w:r w:rsidR="00C737D6" w:rsidRPr="00C44314">
        <w:rPr>
          <w:rFonts w:ascii="Arial" w:hAnsi="Arial" w:cs="Arial"/>
          <w:sz w:val="20"/>
          <w:szCs w:val="20"/>
        </w:rPr>
        <w:t>to</w:t>
      </w:r>
      <w:r w:rsidR="00C737D6" w:rsidRPr="003B53E7">
        <w:rPr>
          <w:rFonts w:ascii="Arial" w:hAnsi="Arial" w:cs="Arial"/>
          <w:sz w:val="18"/>
          <w:szCs w:val="18"/>
        </w:rPr>
        <w:t xml:space="preserve"> </w:t>
      </w:r>
      <w:r w:rsidR="00C737D6" w:rsidRPr="00C44314">
        <w:rPr>
          <w:rFonts w:ascii="Arial" w:hAnsi="Arial" w:cs="Arial"/>
          <w:sz w:val="20"/>
          <w:szCs w:val="20"/>
        </w:rPr>
        <w:t>urge</w:t>
      </w:r>
      <w:r w:rsidR="00C737D6" w:rsidRPr="003B53E7">
        <w:rPr>
          <w:rFonts w:ascii="Arial" w:hAnsi="Arial" w:cs="Arial"/>
          <w:sz w:val="18"/>
          <w:szCs w:val="18"/>
        </w:rPr>
        <w:t xml:space="preserve"> </w:t>
      </w:r>
      <w:r w:rsidR="00C737D6" w:rsidRPr="00C44314">
        <w:rPr>
          <w:rFonts w:ascii="Arial" w:hAnsi="Arial" w:cs="Arial"/>
          <w:sz w:val="20"/>
          <w:szCs w:val="20"/>
        </w:rPr>
        <w:t>their</w:t>
      </w:r>
      <w:r w:rsidR="00C737D6" w:rsidRPr="003B53E7">
        <w:rPr>
          <w:rFonts w:ascii="Arial" w:hAnsi="Arial" w:cs="Arial"/>
          <w:sz w:val="18"/>
          <w:szCs w:val="18"/>
        </w:rPr>
        <w:t xml:space="preserve"> </w:t>
      </w:r>
      <w:r w:rsidR="00C737D6" w:rsidRPr="00C44314">
        <w:rPr>
          <w:rFonts w:ascii="Arial" w:hAnsi="Arial" w:cs="Arial"/>
          <w:sz w:val="20"/>
          <w:szCs w:val="20"/>
        </w:rPr>
        <w:t>governments</w:t>
      </w:r>
      <w:r w:rsidR="00C737D6" w:rsidRPr="003B53E7">
        <w:rPr>
          <w:rFonts w:ascii="Arial" w:hAnsi="Arial" w:cs="Arial"/>
          <w:sz w:val="18"/>
          <w:szCs w:val="18"/>
        </w:rPr>
        <w:t xml:space="preserve"> </w:t>
      </w:r>
      <w:r w:rsidR="00C737D6" w:rsidRPr="00C44314">
        <w:rPr>
          <w:rFonts w:ascii="Arial" w:hAnsi="Arial" w:cs="Arial"/>
          <w:sz w:val="20"/>
          <w:szCs w:val="20"/>
        </w:rPr>
        <w:t>to</w:t>
      </w:r>
      <w:r w:rsidR="00C737D6" w:rsidRPr="003B53E7">
        <w:rPr>
          <w:rFonts w:ascii="Arial" w:hAnsi="Arial" w:cs="Arial"/>
          <w:sz w:val="18"/>
          <w:szCs w:val="18"/>
        </w:rPr>
        <w:t xml:space="preserve"> </w:t>
      </w:r>
      <w:r w:rsidR="00C737D6" w:rsidRPr="00C44314">
        <w:rPr>
          <w:rFonts w:ascii="Arial" w:hAnsi="Arial" w:cs="Arial"/>
          <w:sz w:val="20"/>
          <w:szCs w:val="20"/>
        </w:rPr>
        <w:t>advocate</w:t>
      </w:r>
      <w:r w:rsidR="00C737D6" w:rsidRPr="003B53E7">
        <w:rPr>
          <w:rFonts w:ascii="Arial" w:hAnsi="Arial" w:cs="Arial"/>
          <w:sz w:val="18"/>
          <w:szCs w:val="18"/>
        </w:rPr>
        <w:t xml:space="preserve"> </w:t>
      </w:r>
      <w:r w:rsidR="00C737D6" w:rsidRPr="00C44314">
        <w:rPr>
          <w:rFonts w:ascii="Arial" w:hAnsi="Arial" w:cs="Arial"/>
          <w:sz w:val="20"/>
          <w:szCs w:val="20"/>
        </w:rPr>
        <w:t>for</w:t>
      </w:r>
      <w:r w:rsidR="00C737D6" w:rsidRPr="003B53E7">
        <w:rPr>
          <w:rFonts w:ascii="Arial" w:hAnsi="Arial" w:cs="Arial"/>
          <w:sz w:val="18"/>
          <w:szCs w:val="18"/>
        </w:rPr>
        <w:t xml:space="preserve"> </w:t>
      </w:r>
      <w:r w:rsidR="00C737D6" w:rsidRPr="00C44314">
        <w:rPr>
          <w:rFonts w:ascii="Arial" w:hAnsi="Arial" w:cs="Arial"/>
          <w:sz w:val="20"/>
          <w:szCs w:val="20"/>
        </w:rPr>
        <w:t>an</w:t>
      </w:r>
      <w:r w:rsidR="00C737D6" w:rsidRPr="003B53E7">
        <w:rPr>
          <w:rFonts w:ascii="Arial" w:hAnsi="Arial" w:cs="Arial"/>
          <w:sz w:val="18"/>
          <w:szCs w:val="18"/>
        </w:rPr>
        <w:t xml:space="preserve"> </w:t>
      </w:r>
      <w:r w:rsidR="00C737D6" w:rsidRPr="00C44314">
        <w:rPr>
          <w:rFonts w:ascii="Arial" w:hAnsi="Arial" w:cs="Arial"/>
          <w:sz w:val="20"/>
          <w:szCs w:val="20"/>
        </w:rPr>
        <w:t>immediate</w:t>
      </w:r>
      <w:r w:rsidR="00C737D6" w:rsidRPr="003B53E7">
        <w:rPr>
          <w:rFonts w:ascii="Arial" w:hAnsi="Arial" w:cs="Arial"/>
          <w:sz w:val="18"/>
          <w:szCs w:val="18"/>
        </w:rPr>
        <w:t xml:space="preserve"> </w:t>
      </w:r>
      <w:r w:rsidR="00C737D6" w:rsidRPr="00C44314">
        <w:rPr>
          <w:rFonts w:ascii="Arial" w:hAnsi="Arial" w:cs="Arial"/>
          <w:sz w:val="20"/>
          <w:szCs w:val="20"/>
        </w:rPr>
        <w:t>ceasefire</w:t>
      </w:r>
      <w:r w:rsidR="00C737D6" w:rsidRPr="003B53E7">
        <w:rPr>
          <w:rFonts w:ascii="Arial" w:hAnsi="Arial" w:cs="Arial"/>
          <w:sz w:val="18"/>
          <w:szCs w:val="18"/>
        </w:rPr>
        <w:t xml:space="preserve"> </w:t>
      </w:r>
      <w:r w:rsidR="00C737D6" w:rsidRPr="00C44314">
        <w:rPr>
          <w:rFonts w:ascii="Arial" w:hAnsi="Arial" w:cs="Arial"/>
          <w:sz w:val="20"/>
          <w:szCs w:val="20"/>
        </w:rPr>
        <w:t>in Gaza,</w:t>
      </w:r>
      <w:r w:rsidR="00A3449B" w:rsidRPr="00C44314">
        <w:rPr>
          <w:rFonts w:ascii="Arial" w:hAnsi="Arial" w:cs="Arial"/>
          <w:sz w:val="20"/>
          <w:szCs w:val="20"/>
        </w:rPr>
        <w:t xml:space="preserve"> leading in particular to</w:t>
      </w:r>
      <w:r w:rsidR="00C737D6" w:rsidRPr="00C44314">
        <w:rPr>
          <w:rFonts w:ascii="Arial" w:hAnsi="Arial" w:cs="Arial"/>
          <w:sz w:val="20"/>
          <w:szCs w:val="20"/>
        </w:rPr>
        <w:t xml:space="preserve"> the lifting of the blockade to enable the free movement of people and goods, facilitate</w:t>
      </w:r>
      <w:r w:rsidR="00A3449B" w:rsidRPr="00C44314">
        <w:rPr>
          <w:rFonts w:ascii="Arial" w:hAnsi="Arial" w:cs="Arial"/>
          <w:sz w:val="20"/>
          <w:szCs w:val="20"/>
        </w:rPr>
        <w:t>d</w:t>
      </w:r>
      <w:r w:rsidR="00C737D6" w:rsidRPr="00C44314">
        <w:rPr>
          <w:rFonts w:ascii="Arial" w:hAnsi="Arial" w:cs="Arial"/>
          <w:sz w:val="20"/>
          <w:szCs w:val="20"/>
        </w:rPr>
        <w:t xml:space="preserve"> access to humanitarian aid </w:t>
      </w:r>
      <w:r w:rsidR="00A3449B" w:rsidRPr="00C44314">
        <w:rPr>
          <w:rFonts w:ascii="Arial" w:hAnsi="Arial" w:cs="Arial"/>
          <w:sz w:val="20"/>
          <w:szCs w:val="20"/>
        </w:rPr>
        <w:t xml:space="preserve">and </w:t>
      </w:r>
      <w:r w:rsidR="00C737D6" w:rsidRPr="00C44314">
        <w:rPr>
          <w:rFonts w:ascii="Arial" w:hAnsi="Arial" w:cs="Arial"/>
          <w:sz w:val="20"/>
          <w:szCs w:val="20"/>
        </w:rPr>
        <w:t>the release of hostages and political</w:t>
      </w:r>
      <w:r w:rsidR="00C737D6" w:rsidRPr="003B53E7">
        <w:rPr>
          <w:rFonts w:ascii="Arial" w:hAnsi="Arial" w:cs="Arial"/>
          <w:sz w:val="16"/>
          <w:szCs w:val="16"/>
        </w:rPr>
        <w:t xml:space="preserve"> </w:t>
      </w:r>
      <w:r w:rsidR="00C737D6" w:rsidRPr="00C44314">
        <w:rPr>
          <w:rFonts w:ascii="Arial" w:hAnsi="Arial" w:cs="Arial"/>
          <w:sz w:val="20"/>
          <w:szCs w:val="20"/>
        </w:rPr>
        <w:t>prisoners,</w:t>
      </w:r>
      <w:r w:rsidR="00C737D6" w:rsidRPr="003B53E7">
        <w:rPr>
          <w:rFonts w:ascii="Arial" w:hAnsi="Arial" w:cs="Arial"/>
          <w:sz w:val="16"/>
          <w:szCs w:val="16"/>
        </w:rPr>
        <w:t xml:space="preserve"> </w:t>
      </w:r>
      <w:r w:rsidR="00006BD9" w:rsidRPr="00C44314">
        <w:rPr>
          <w:rFonts w:ascii="Arial" w:hAnsi="Arial" w:cs="Arial"/>
          <w:sz w:val="20"/>
          <w:szCs w:val="20"/>
        </w:rPr>
        <w:t>in</w:t>
      </w:r>
      <w:r w:rsidR="00006BD9" w:rsidRPr="003B53E7">
        <w:rPr>
          <w:rFonts w:ascii="Arial" w:hAnsi="Arial" w:cs="Arial"/>
          <w:sz w:val="16"/>
          <w:szCs w:val="16"/>
        </w:rPr>
        <w:t xml:space="preserve"> </w:t>
      </w:r>
      <w:r w:rsidR="00006BD9" w:rsidRPr="00C44314">
        <w:rPr>
          <w:rFonts w:ascii="Arial" w:hAnsi="Arial" w:cs="Arial"/>
          <w:sz w:val="20"/>
          <w:szCs w:val="20"/>
        </w:rPr>
        <w:t>view</w:t>
      </w:r>
      <w:r w:rsidR="00006BD9" w:rsidRPr="003B53E7">
        <w:rPr>
          <w:rFonts w:ascii="Arial" w:hAnsi="Arial" w:cs="Arial"/>
          <w:sz w:val="16"/>
          <w:szCs w:val="16"/>
        </w:rPr>
        <w:t xml:space="preserve"> </w:t>
      </w:r>
      <w:r w:rsidR="00006BD9" w:rsidRPr="00C44314">
        <w:rPr>
          <w:rFonts w:ascii="Arial" w:hAnsi="Arial" w:cs="Arial"/>
          <w:sz w:val="20"/>
          <w:szCs w:val="20"/>
        </w:rPr>
        <w:t>of</w:t>
      </w:r>
      <w:r w:rsidR="00006BD9" w:rsidRPr="003B53E7">
        <w:rPr>
          <w:rFonts w:ascii="Arial" w:hAnsi="Arial" w:cs="Arial"/>
          <w:sz w:val="16"/>
          <w:szCs w:val="16"/>
        </w:rPr>
        <w:t xml:space="preserve"> </w:t>
      </w:r>
      <w:r w:rsidR="00006BD9" w:rsidRPr="00C44314">
        <w:rPr>
          <w:rFonts w:ascii="Arial" w:hAnsi="Arial" w:cs="Arial"/>
          <w:sz w:val="20"/>
          <w:szCs w:val="20"/>
        </w:rPr>
        <w:t>ending</w:t>
      </w:r>
      <w:r w:rsidR="00006BD9" w:rsidRPr="003B53E7">
        <w:rPr>
          <w:rFonts w:ascii="Arial" w:hAnsi="Arial" w:cs="Arial"/>
          <w:sz w:val="16"/>
          <w:szCs w:val="16"/>
        </w:rPr>
        <w:t xml:space="preserve"> </w:t>
      </w:r>
      <w:r w:rsidR="00006BD9" w:rsidRPr="00C44314">
        <w:rPr>
          <w:rFonts w:ascii="Arial" w:hAnsi="Arial" w:cs="Arial"/>
          <w:sz w:val="20"/>
          <w:szCs w:val="20"/>
        </w:rPr>
        <w:t>the</w:t>
      </w:r>
      <w:r w:rsidR="00006BD9" w:rsidRPr="003B53E7">
        <w:rPr>
          <w:rFonts w:ascii="Arial" w:hAnsi="Arial" w:cs="Arial"/>
          <w:sz w:val="16"/>
          <w:szCs w:val="16"/>
        </w:rPr>
        <w:t xml:space="preserve"> </w:t>
      </w:r>
      <w:r w:rsidR="00006BD9" w:rsidRPr="00C44314">
        <w:rPr>
          <w:rFonts w:ascii="Arial" w:hAnsi="Arial" w:cs="Arial"/>
          <w:sz w:val="20"/>
          <w:szCs w:val="20"/>
        </w:rPr>
        <w:t>war</w:t>
      </w:r>
      <w:r w:rsidR="00DE2CBA">
        <w:rPr>
          <w:rFonts w:ascii="Arial" w:hAnsi="Arial" w:cs="Arial"/>
          <w:sz w:val="20"/>
          <w:szCs w:val="20"/>
        </w:rPr>
        <w:t>,</w:t>
      </w:r>
      <w:r w:rsidR="00006BD9" w:rsidRPr="003B53E7">
        <w:rPr>
          <w:rFonts w:ascii="Arial" w:hAnsi="Arial" w:cs="Arial"/>
          <w:sz w:val="16"/>
          <w:szCs w:val="16"/>
        </w:rPr>
        <w:t xml:space="preserve"> </w:t>
      </w:r>
      <w:r w:rsidR="00DE2CBA">
        <w:rPr>
          <w:rFonts w:ascii="Arial" w:hAnsi="Arial" w:cs="Arial"/>
          <w:sz w:val="20"/>
          <w:szCs w:val="20"/>
        </w:rPr>
        <w:t>which</w:t>
      </w:r>
      <w:r w:rsidR="00DE2CBA" w:rsidRPr="003B53E7">
        <w:rPr>
          <w:rFonts w:ascii="Arial" w:hAnsi="Arial" w:cs="Arial"/>
          <w:sz w:val="16"/>
          <w:szCs w:val="16"/>
        </w:rPr>
        <w:t xml:space="preserve"> </w:t>
      </w:r>
      <w:r w:rsidR="00006BD9" w:rsidRPr="00C44314">
        <w:rPr>
          <w:rFonts w:ascii="Arial" w:hAnsi="Arial" w:cs="Arial"/>
          <w:sz w:val="20"/>
          <w:szCs w:val="20"/>
        </w:rPr>
        <w:t>has</w:t>
      </w:r>
      <w:r w:rsidR="00006BD9" w:rsidRPr="003B53E7">
        <w:rPr>
          <w:rFonts w:ascii="Arial" w:hAnsi="Arial" w:cs="Arial"/>
          <w:sz w:val="16"/>
          <w:szCs w:val="16"/>
        </w:rPr>
        <w:t xml:space="preserve"> </w:t>
      </w:r>
      <w:r w:rsidR="00006BD9" w:rsidRPr="00C44314">
        <w:rPr>
          <w:rFonts w:ascii="Arial" w:hAnsi="Arial" w:cs="Arial"/>
          <w:sz w:val="20"/>
          <w:szCs w:val="20"/>
        </w:rPr>
        <w:t>left</w:t>
      </w:r>
      <w:r w:rsidR="00006BD9" w:rsidRPr="003B53E7">
        <w:rPr>
          <w:rFonts w:ascii="Arial" w:hAnsi="Arial" w:cs="Arial"/>
          <w:sz w:val="16"/>
          <w:szCs w:val="16"/>
        </w:rPr>
        <w:t xml:space="preserve"> </w:t>
      </w:r>
      <w:r w:rsidR="00006BD9" w:rsidRPr="00C44314">
        <w:rPr>
          <w:rFonts w:ascii="Arial" w:hAnsi="Arial" w:cs="Arial"/>
          <w:sz w:val="20"/>
          <w:szCs w:val="20"/>
        </w:rPr>
        <w:t>only</w:t>
      </w:r>
      <w:r w:rsidR="00006BD9" w:rsidRPr="003B53E7">
        <w:rPr>
          <w:rFonts w:ascii="Arial" w:hAnsi="Arial" w:cs="Arial"/>
          <w:sz w:val="16"/>
          <w:szCs w:val="16"/>
        </w:rPr>
        <w:t xml:space="preserve"> </w:t>
      </w:r>
      <w:r w:rsidR="00006BD9" w:rsidRPr="00C44314">
        <w:rPr>
          <w:rFonts w:ascii="Arial" w:hAnsi="Arial" w:cs="Arial"/>
          <w:sz w:val="20"/>
          <w:szCs w:val="20"/>
        </w:rPr>
        <w:t>death</w:t>
      </w:r>
      <w:r w:rsidR="00006BD9" w:rsidRPr="003B53E7">
        <w:rPr>
          <w:rFonts w:ascii="Arial" w:hAnsi="Arial" w:cs="Arial"/>
          <w:sz w:val="16"/>
          <w:szCs w:val="16"/>
        </w:rPr>
        <w:t xml:space="preserve"> </w:t>
      </w:r>
      <w:r w:rsidR="00006BD9" w:rsidRPr="00C44314">
        <w:rPr>
          <w:rFonts w:ascii="Arial" w:hAnsi="Arial" w:cs="Arial"/>
          <w:sz w:val="20"/>
          <w:szCs w:val="20"/>
        </w:rPr>
        <w:t>and</w:t>
      </w:r>
      <w:r w:rsidR="00006BD9" w:rsidRPr="003B53E7">
        <w:rPr>
          <w:rFonts w:ascii="Arial" w:hAnsi="Arial" w:cs="Arial"/>
          <w:sz w:val="16"/>
          <w:szCs w:val="16"/>
        </w:rPr>
        <w:t xml:space="preserve"> </w:t>
      </w:r>
      <w:r w:rsidR="00006BD9" w:rsidRPr="00C44314">
        <w:rPr>
          <w:rFonts w:ascii="Arial" w:hAnsi="Arial" w:cs="Arial"/>
          <w:sz w:val="20"/>
          <w:szCs w:val="20"/>
        </w:rPr>
        <w:t>destruction</w:t>
      </w:r>
      <w:r w:rsidR="00DE2CBA" w:rsidRPr="003B53E7">
        <w:rPr>
          <w:rFonts w:ascii="Arial" w:hAnsi="Arial" w:cs="Arial"/>
          <w:sz w:val="16"/>
          <w:szCs w:val="16"/>
        </w:rPr>
        <w:t xml:space="preserve"> </w:t>
      </w:r>
      <w:r w:rsidR="00DE2CBA">
        <w:rPr>
          <w:rFonts w:ascii="Arial" w:hAnsi="Arial" w:cs="Arial"/>
          <w:sz w:val="20"/>
          <w:szCs w:val="20"/>
        </w:rPr>
        <w:t>in</w:t>
      </w:r>
      <w:r w:rsidR="00DE2CBA" w:rsidRPr="003B53E7">
        <w:rPr>
          <w:rFonts w:ascii="Arial" w:hAnsi="Arial" w:cs="Arial"/>
          <w:sz w:val="16"/>
          <w:szCs w:val="16"/>
        </w:rPr>
        <w:t xml:space="preserve"> </w:t>
      </w:r>
      <w:r w:rsidR="00DE2CBA">
        <w:rPr>
          <w:rFonts w:ascii="Arial" w:hAnsi="Arial" w:cs="Arial"/>
          <w:sz w:val="20"/>
          <w:szCs w:val="20"/>
        </w:rPr>
        <w:t>its wake</w:t>
      </w:r>
      <w:r w:rsidR="001C2840">
        <w:rPr>
          <w:rFonts w:ascii="Arial" w:hAnsi="Arial" w:cs="Arial"/>
          <w:sz w:val="20"/>
          <w:szCs w:val="20"/>
        </w:rPr>
        <w:t>;</w:t>
      </w:r>
    </w:p>
    <w:p w14:paraId="54398C28" w14:textId="77777777" w:rsidR="00A3449B" w:rsidRPr="003B53E7" w:rsidRDefault="00A3449B" w:rsidP="00647B22">
      <w:pPr>
        <w:spacing w:after="0" w:line="240" w:lineRule="auto"/>
        <w:ind w:left="1134" w:hanging="567"/>
        <w:rPr>
          <w:rFonts w:ascii="Arial" w:hAnsi="Arial" w:cs="Arial"/>
          <w:sz w:val="10"/>
          <w:szCs w:val="10"/>
        </w:rPr>
      </w:pPr>
    </w:p>
    <w:p w14:paraId="35D78DB1" w14:textId="55E59223" w:rsidR="00C737D6" w:rsidRPr="004B4CF8" w:rsidRDefault="00C44314" w:rsidP="00647B22">
      <w:pPr>
        <w:spacing w:after="0" w:line="240" w:lineRule="auto"/>
        <w:ind w:left="1134" w:hanging="567"/>
        <w:rPr>
          <w:rFonts w:ascii="Arial" w:hAnsi="Arial" w:cs="Arial"/>
          <w:spacing w:val="-2"/>
          <w:sz w:val="20"/>
          <w:szCs w:val="20"/>
        </w:rPr>
      </w:pPr>
      <w:r w:rsidRPr="007D0847">
        <w:rPr>
          <w:rFonts w:ascii="Arial" w:hAnsi="Arial" w:cs="Arial"/>
          <w:spacing w:val="-2"/>
          <w:sz w:val="20"/>
          <w:szCs w:val="20"/>
        </w:rPr>
        <w:t>2</w:t>
      </w:r>
      <w:r w:rsidR="003C44B3" w:rsidRPr="007D0847">
        <w:rPr>
          <w:rFonts w:ascii="Arial" w:hAnsi="Arial" w:cs="Arial"/>
          <w:spacing w:val="-2"/>
          <w:sz w:val="20"/>
          <w:szCs w:val="20"/>
        </w:rPr>
        <w:t>.</w:t>
      </w:r>
      <w:r w:rsidR="003C44B3">
        <w:rPr>
          <w:rFonts w:ascii="Arial" w:hAnsi="Arial" w:cs="Arial"/>
          <w:i/>
          <w:iCs/>
          <w:spacing w:val="-2"/>
          <w:sz w:val="20"/>
          <w:szCs w:val="20"/>
        </w:rPr>
        <w:tab/>
      </w:r>
      <w:r w:rsidR="008A7F00">
        <w:rPr>
          <w:rFonts w:ascii="Arial" w:hAnsi="Arial" w:cs="Arial"/>
          <w:i/>
          <w:iCs/>
          <w:spacing w:val="-2"/>
          <w:sz w:val="20"/>
          <w:szCs w:val="20"/>
        </w:rPr>
        <w:t>C</w:t>
      </w:r>
      <w:r w:rsidR="00DE2CBA" w:rsidRPr="004B4CF8">
        <w:rPr>
          <w:rFonts w:ascii="Arial" w:hAnsi="Arial" w:cs="Arial"/>
          <w:i/>
          <w:iCs/>
          <w:spacing w:val="-2"/>
          <w:sz w:val="20"/>
          <w:szCs w:val="20"/>
        </w:rPr>
        <w:t xml:space="preserve">alls </w:t>
      </w:r>
      <w:r w:rsidR="00C737D6" w:rsidRPr="004B4CF8">
        <w:rPr>
          <w:rFonts w:ascii="Arial" w:hAnsi="Arial" w:cs="Arial"/>
          <w:i/>
          <w:iCs/>
          <w:spacing w:val="-2"/>
          <w:sz w:val="20"/>
          <w:szCs w:val="20"/>
        </w:rPr>
        <w:t>on</w:t>
      </w:r>
      <w:r w:rsidR="00C737D6" w:rsidRPr="004B4CF8">
        <w:rPr>
          <w:rFonts w:ascii="Arial" w:hAnsi="Arial" w:cs="Arial"/>
          <w:spacing w:val="-2"/>
          <w:sz w:val="20"/>
          <w:szCs w:val="20"/>
        </w:rPr>
        <w:t xml:space="preserve"> the Parliaments of Israel and Palestine to promote human dignity and safeguard fundamental rights by taking all actions necessary to protect civilians, particularly children, women, </w:t>
      </w:r>
      <w:r w:rsidR="00264552" w:rsidRPr="004B4CF8">
        <w:rPr>
          <w:rFonts w:ascii="Arial" w:hAnsi="Arial" w:cs="Arial"/>
          <w:spacing w:val="-2"/>
          <w:sz w:val="20"/>
          <w:szCs w:val="20"/>
        </w:rPr>
        <w:t xml:space="preserve">people with disabilities </w:t>
      </w:r>
      <w:r w:rsidR="00C737D6" w:rsidRPr="004B4CF8">
        <w:rPr>
          <w:rFonts w:ascii="Arial" w:hAnsi="Arial" w:cs="Arial"/>
          <w:spacing w:val="-2"/>
          <w:sz w:val="20"/>
          <w:szCs w:val="20"/>
        </w:rPr>
        <w:t>and the elderly, ensuring unimpeded humanitarian access and supporting the safe delivery of essential supplies</w:t>
      </w:r>
      <w:r w:rsidR="008A7F00">
        <w:rPr>
          <w:rFonts w:ascii="Arial" w:hAnsi="Arial" w:cs="Arial"/>
          <w:spacing w:val="-2"/>
          <w:sz w:val="20"/>
          <w:szCs w:val="20"/>
        </w:rPr>
        <w:t>;</w:t>
      </w:r>
      <w:r w:rsidR="00C737D6" w:rsidRPr="004B4CF8">
        <w:rPr>
          <w:rFonts w:ascii="Arial" w:hAnsi="Arial" w:cs="Arial"/>
          <w:spacing w:val="-2"/>
          <w:sz w:val="20"/>
          <w:szCs w:val="20"/>
        </w:rPr>
        <w:t xml:space="preserve"> </w:t>
      </w:r>
      <w:r w:rsidR="008A7F00">
        <w:rPr>
          <w:rFonts w:ascii="Arial" w:hAnsi="Arial" w:cs="Arial"/>
          <w:spacing w:val="-2"/>
          <w:sz w:val="20"/>
          <w:szCs w:val="20"/>
        </w:rPr>
        <w:t>and i</w:t>
      </w:r>
      <w:r w:rsidR="008A7F00" w:rsidRPr="004B4CF8">
        <w:rPr>
          <w:rFonts w:ascii="Arial" w:hAnsi="Arial" w:cs="Arial"/>
          <w:spacing w:val="-2"/>
          <w:sz w:val="20"/>
          <w:szCs w:val="20"/>
        </w:rPr>
        <w:t xml:space="preserve">n </w:t>
      </w:r>
      <w:r w:rsidR="00C737D6" w:rsidRPr="004B4CF8">
        <w:rPr>
          <w:rFonts w:ascii="Arial" w:hAnsi="Arial" w:cs="Arial"/>
          <w:spacing w:val="-2"/>
          <w:sz w:val="20"/>
          <w:szCs w:val="20"/>
        </w:rPr>
        <w:t>this regard:</w:t>
      </w:r>
    </w:p>
    <w:p w14:paraId="4C2EAC8F" w14:textId="77777777" w:rsidR="000034B0" w:rsidRPr="003B53E7" w:rsidRDefault="000034B0" w:rsidP="00647B22">
      <w:pPr>
        <w:spacing w:after="0" w:line="240" w:lineRule="auto"/>
        <w:ind w:left="1134" w:hanging="567"/>
        <w:rPr>
          <w:rFonts w:ascii="Arial" w:hAnsi="Arial" w:cs="Arial"/>
          <w:spacing w:val="-2"/>
          <w:sz w:val="12"/>
          <w:szCs w:val="12"/>
        </w:rPr>
      </w:pPr>
    </w:p>
    <w:p w14:paraId="29639851" w14:textId="00760369" w:rsidR="00C737D6" w:rsidRPr="004B4CF8" w:rsidRDefault="00C737D6" w:rsidP="00647B22">
      <w:pPr>
        <w:numPr>
          <w:ilvl w:val="1"/>
          <w:numId w:val="1"/>
        </w:numPr>
        <w:spacing w:after="0" w:line="240" w:lineRule="auto"/>
        <w:ind w:left="1701" w:hanging="567"/>
        <w:rPr>
          <w:rFonts w:ascii="Arial" w:hAnsi="Arial" w:cs="Arial"/>
          <w:spacing w:val="-2"/>
          <w:sz w:val="20"/>
          <w:szCs w:val="20"/>
        </w:rPr>
      </w:pPr>
      <w:r w:rsidRPr="004B4CF8">
        <w:rPr>
          <w:rFonts w:ascii="Arial" w:hAnsi="Arial" w:cs="Arial"/>
          <w:i/>
          <w:iCs/>
          <w:spacing w:val="-2"/>
          <w:sz w:val="20"/>
          <w:szCs w:val="20"/>
        </w:rPr>
        <w:t>Reaffirms</w:t>
      </w:r>
      <w:r w:rsidRPr="004B4CF8">
        <w:rPr>
          <w:rFonts w:ascii="Arial" w:hAnsi="Arial" w:cs="Arial"/>
          <w:spacing w:val="-2"/>
          <w:sz w:val="20"/>
          <w:szCs w:val="20"/>
        </w:rPr>
        <w:t xml:space="preserve"> its support for the United Nations Relief and Works Agency for Palestine Refugees in the Near East (UNRWA) as a vital provider of humanitarian aid, education and health</w:t>
      </w:r>
      <w:r w:rsidR="008A7F00">
        <w:rPr>
          <w:rFonts w:ascii="Arial" w:hAnsi="Arial" w:cs="Arial"/>
          <w:spacing w:val="-2"/>
          <w:sz w:val="20"/>
          <w:szCs w:val="20"/>
        </w:rPr>
        <w:t>care</w:t>
      </w:r>
      <w:r w:rsidRPr="004B4CF8">
        <w:rPr>
          <w:rFonts w:ascii="Arial" w:hAnsi="Arial" w:cs="Arial"/>
          <w:spacing w:val="-2"/>
          <w:sz w:val="20"/>
          <w:szCs w:val="20"/>
        </w:rPr>
        <w:t xml:space="preserve"> services to Palestinians</w:t>
      </w:r>
      <w:r w:rsidR="001C2840">
        <w:rPr>
          <w:rFonts w:ascii="Arial" w:hAnsi="Arial" w:cs="Arial"/>
          <w:spacing w:val="-2"/>
          <w:sz w:val="20"/>
          <w:szCs w:val="20"/>
        </w:rPr>
        <w:t>;</w:t>
      </w:r>
    </w:p>
    <w:p w14:paraId="7294B993" w14:textId="77777777" w:rsidR="00A3449B" w:rsidRPr="003B53E7" w:rsidRDefault="00A3449B" w:rsidP="00647B22">
      <w:pPr>
        <w:spacing w:after="0" w:line="240" w:lineRule="auto"/>
        <w:ind w:left="1701" w:hanging="567"/>
        <w:rPr>
          <w:rFonts w:ascii="Arial" w:hAnsi="Arial" w:cs="Arial"/>
          <w:spacing w:val="-2"/>
          <w:sz w:val="12"/>
          <w:szCs w:val="12"/>
        </w:rPr>
      </w:pPr>
    </w:p>
    <w:p w14:paraId="6CD72D2C" w14:textId="578E5532" w:rsidR="00C737D6" w:rsidRPr="004B4CF8" w:rsidRDefault="00A3449B" w:rsidP="00647B22">
      <w:pPr>
        <w:numPr>
          <w:ilvl w:val="1"/>
          <w:numId w:val="1"/>
        </w:numPr>
        <w:spacing w:after="0" w:line="240" w:lineRule="auto"/>
        <w:ind w:left="1701" w:hanging="567"/>
        <w:rPr>
          <w:rFonts w:ascii="Arial" w:hAnsi="Arial" w:cs="Arial"/>
          <w:sz w:val="20"/>
          <w:szCs w:val="20"/>
        </w:rPr>
      </w:pPr>
      <w:r w:rsidRPr="004B4CF8">
        <w:rPr>
          <w:rFonts w:ascii="Arial" w:hAnsi="Arial" w:cs="Arial"/>
          <w:i/>
          <w:iCs/>
          <w:sz w:val="20"/>
          <w:szCs w:val="20"/>
        </w:rPr>
        <w:t xml:space="preserve">Urges </w:t>
      </w:r>
      <w:r w:rsidR="00C737D6" w:rsidRPr="004B4CF8">
        <w:rPr>
          <w:rFonts w:ascii="Arial" w:hAnsi="Arial" w:cs="Arial"/>
          <w:sz w:val="20"/>
          <w:szCs w:val="20"/>
        </w:rPr>
        <w:t>the Parliament of Israel to</w:t>
      </w:r>
      <w:r w:rsidR="008A7F00">
        <w:rPr>
          <w:rFonts w:ascii="Arial" w:hAnsi="Arial" w:cs="Arial"/>
          <w:sz w:val="20"/>
          <w:szCs w:val="20"/>
        </w:rPr>
        <w:t>:</w:t>
      </w:r>
      <w:r w:rsidR="00C737D6" w:rsidRPr="004B4CF8">
        <w:rPr>
          <w:rFonts w:ascii="Arial" w:hAnsi="Arial" w:cs="Arial"/>
          <w:sz w:val="20"/>
          <w:szCs w:val="20"/>
        </w:rPr>
        <w:t xml:space="preserve"> review its decision to ban UNRWA’s operations in </w:t>
      </w:r>
      <w:r w:rsidR="00DE2CBA">
        <w:rPr>
          <w:rFonts w:ascii="Arial" w:hAnsi="Arial" w:cs="Arial"/>
          <w:sz w:val="20"/>
          <w:szCs w:val="20"/>
        </w:rPr>
        <w:t xml:space="preserve">the </w:t>
      </w:r>
      <w:r w:rsidR="00C737D6" w:rsidRPr="004B4CF8">
        <w:rPr>
          <w:rFonts w:ascii="Arial" w:hAnsi="Arial" w:cs="Arial"/>
          <w:sz w:val="20"/>
          <w:szCs w:val="20"/>
        </w:rPr>
        <w:t xml:space="preserve">Occupied Palestinian </w:t>
      </w:r>
      <w:r w:rsidR="009D1736" w:rsidRPr="004B4CF8">
        <w:rPr>
          <w:rFonts w:ascii="Arial" w:hAnsi="Arial" w:cs="Arial"/>
          <w:sz w:val="20"/>
          <w:szCs w:val="20"/>
        </w:rPr>
        <w:t>Territor</w:t>
      </w:r>
      <w:r w:rsidR="009D1736">
        <w:rPr>
          <w:rFonts w:ascii="Arial" w:hAnsi="Arial" w:cs="Arial"/>
          <w:sz w:val="20"/>
          <w:szCs w:val="20"/>
        </w:rPr>
        <w:t>y</w:t>
      </w:r>
      <w:r w:rsidR="009D1736" w:rsidRPr="004B4CF8">
        <w:rPr>
          <w:rFonts w:ascii="Arial" w:hAnsi="Arial" w:cs="Arial"/>
          <w:sz w:val="20"/>
          <w:szCs w:val="20"/>
        </w:rPr>
        <w:t xml:space="preserve"> </w:t>
      </w:r>
      <w:r w:rsidR="00C737D6" w:rsidRPr="004B4CF8">
        <w:rPr>
          <w:rFonts w:ascii="Arial" w:hAnsi="Arial" w:cs="Arial"/>
          <w:sz w:val="20"/>
          <w:szCs w:val="20"/>
        </w:rPr>
        <w:t>(OPT)</w:t>
      </w:r>
      <w:r w:rsidR="008A7F00">
        <w:rPr>
          <w:rFonts w:ascii="Arial" w:hAnsi="Arial" w:cs="Arial"/>
          <w:sz w:val="20"/>
          <w:szCs w:val="20"/>
        </w:rPr>
        <w:t>;</w:t>
      </w:r>
      <w:r w:rsidR="00C737D6" w:rsidRPr="004B4CF8">
        <w:rPr>
          <w:rFonts w:ascii="Arial" w:hAnsi="Arial" w:cs="Arial"/>
          <w:sz w:val="20"/>
          <w:szCs w:val="20"/>
        </w:rPr>
        <w:t xml:space="preserve"> and to support the implementation of education for peace initiatives</w:t>
      </w:r>
      <w:r w:rsidR="001C2840">
        <w:rPr>
          <w:rFonts w:ascii="Arial" w:hAnsi="Arial" w:cs="Arial"/>
          <w:sz w:val="20"/>
          <w:szCs w:val="20"/>
        </w:rPr>
        <w:t>;</w:t>
      </w:r>
    </w:p>
    <w:p w14:paraId="7025C763" w14:textId="77777777" w:rsidR="00A3449B" w:rsidRPr="003B53E7" w:rsidRDefault="00A3449B" w:rsidP="00647B22">
      <w:pPr>
        <w:spacing w:after="0" w:line="240" w:lineRule="auto"/>
        <w:ind w:left="1701" w:hanging="567"/>
        <w:rPr>
          <w:rFonts w:ascii="Arial" w:hAnsi="Arial" w:cs="Arial"/>
          <w:i/>
          <w:iCs/>
          <w:sz w:val="12"/>
          <w:szCs w:val="12"/>
        </w:rPr>
      </w:pPr>
    </w:p>
    <w:p w14:paraId="15ECD158" w14:textId="17F2F89F" w:rsidR="00C737D6" w:rsidRPr="00AB60A8" w:rsidRDefault="00C44314" w:rsidP="00647B22">
      <w:pPr>
        <w:spacing w:after="0" w:line="240" w:lineRule="auto"/>
        <w:ind w:left="1701" w:hanging="567"/>
        <w:rPr>
          <w:rFonts w:ascii="Arial" w:hAnsi="Arial" w:cs="Arial"/>
          <w:sz w:val="20"/>
          <w:szCs w:val="20"/>
        </w:rPr>
      </w:pPr>
      <w:r>
        <w:rPr>
          <w:rFonts w:ascii="Arial" w:hAnsi="Arial" w:cs="Arial"/>
          <w:i/>
          <w:iCs/>
          <w:sz w:val="20"/>
          <w:szCs w:val="20"/>
        </w:rPr>
        <w:t>c</w:t>
      </w:r>
      <w:r w:rsidR="00230651">
        <w:rPr>
          <w:rFonts w:ascii="Arial" w:hAnsi="Arial" w:cs="Arial"/>
          <w:i/>
          <w:iCs/>
          <w:sz w:val="20"/>
          <w:szCs w:val="20"/>
        </w:rPr>
        <w:t>.</w:t>
      </w:r>
      <w:r w:rsidR="00230651">
        <w:rPr>
          <w:rFonts w:ascii="Arial" w:hAnsi="Arial" w:cs="Arial"/>
          <w:i/>
          <w:iCs/>
          <w:sz w:val="20"/>
          <w:szCs w:val="20"/>
        </w:rPr>
        <w:tab/>
      </w:r>
      <w:r w:rsidR="00C737D6" w:rsidRPr="00AB60A8">
        <w:rPr>
          <w:rFonts w:ascii="Arial" w:hAnsi="Arial" w:cs="Arial"/>
          <w:i/>
          <w:iCs/>
          <w:sz w:val="20"/>
          <w:szCs w:val="20"/>
        </w:rPr>
        <w:t>Requests</w:t>
      </w:r>
      <w:r w:rsidR="00C737D6" w:rsidRPr="00AB60A8">
        <w:rPr>
          <w:rFonts w:ascii="Arial" w:hAnsi="Arial" w:cs="Arial"/>
          <w:sz w:val="20"/>
          <w:szCs w:val="20"/>
        </w:rPr>
        <w:t xml:space="preserve"> </w:t>
      </w:r>
      <w:r w:rsidR="008A7F00">
        <w:rPr>
          <w:rFonts w:ascii="Arial" w:hAnsi="Arial" w:cs="Arial"/>
          <w:sz w:val="20"/>
          <w:szCs w:val="20"/>
        </w:rPr>
        <w:t xml:space="preserve">that </w:t>
      </w:r>
      <w:r w:rsidR="00C737D6" w:rsidRPr="00AB60A8">
        <w:rPr>
          <w:rFonts w:ascii="Arial" w:hAnsi="Arial" w:cs="Arial"/>
          <w:sz w:val="20"/>
          <w:szCs w:val="20"/>
        </w:rPr>
        <w:t>parliaments provide financial support to UNRWA and other humanitarian organizations working in Gaza and the OPT to alleviate suffering and support recovery efforts</w:t>
      </w:r>
      <w:r w:rsidR="001C2840">
        <w:rPr>
          <w:rFonts w:ascii="Arial" w:hAnsi="Arial" w:cs="Arial"/>
          <w:sz w:val="20"/>
          <w:szCs w:val="20"/>
        </w:rPr>
        <w:t>;</w:t>
      </w:r>
    </w:p>
    <w:p w14:paraId="2651337D" w14:textId="77777777" w:rsidR="000034B0" w:rsidRPr="003B53E7" w:rsidRDefault="000034B0" w:rsidP="00647B22">
      <w:pPr>
        <w:spacing w:after="0" w:line="240" w:lineRule="auto"/>
        <w:ind w:left="1134" w:hanging="567"/>
        <w:rPr>
          <w:rFonts w:ascii="Arial" w:hAnsi="Arial" w:cs="Arial"/>
          <w:sz w:val="12"/>
          <w:szCs w:val="12"/>
        </w:rPr>
      </w:pPr>
    </w:p>
    <w:p w14:paraId="3927E739" w14:textId="1E46CA89" w:rsidR="00C737D6" w:rsidRPr="00FF6BBC" w:rsidRDefault="00C44314" w:rsidP="00647B22">
      <w:pPr>
        <w:spacing w:after="0" w:line="240" w:lineRule="auto"/>
        <w:ind w:left="1134" w:hanging="567"/>
        <w:rPr>
          <w:rFonts w:ascii="Arial" w:hAnsi="Arial" w:cs="Arial"/>
          <w:sz w:val="20"/>
          <w:szCs w:val="20"/>
        </w:rPr>
      </w:pPr>
      <w:r w:rsidRPr="00FF6BBC">
        <w:rPr>
          <w:rFonts w:ascii="Arial" w:hAnsi="Arial" w:cs="Arial"/>
          <w:sz w:val="20"/>
          <w:szCs w:val="20"/>
        </w:rPr>
        <w:t>3</w:t>
      </w:r>
      <w:r w:rsidR="00230651" w:rsidRPr="00FF6BBC">
        <w:rPr>
          <w:rFonts w:ascii="Arial" w:hAnsi="Arial" w:cs="Arial"/>
          <w:sz w:val="20"/>
          <w:szCs w:val="20"/>
        </w:rPr>
        <w:t>.</w:t>
      </w:r>
      <w:r w:rsidR="00230651" w:rsidRPr="00FF6BBC">
        <w:rPr>
          <w:rFonts w:ascii="Arial" w:hAnsi="Arial" w:cs="Arial"/>
          <w:i/>
          <w:iCs/>
          <w:sz w:val="20"/>
          <w:szCs w:val="20"/>
        </w:rPr>
        <w:tab/>
      </w:r>
      <w:r w:rsidR="00C737D6" w:rsidRPr="00FF6BBC">
        <w:rPr>
          <w:rFonts w:ascii="Arial" w:hAnsi="Arial" w:cs="Arial"/>
          <w:i/>
          <w:iCs/>
          <w:sz w:val="20"/>
          <w:szCs w:val="20"/>
        </w:rPr>
        <w:t>Strongly encourages</w:t>
      </w:r>
      <w:r w:rsidR="00C737D6" w:rsidRPr="00FF6BBC">
        <w:rPr>
          <w:rFonts w:ascii="Arial" w:hAnsi="Arial" w:cs="Arial"/>
          <w:sz w:val="20"/>
          <w:szCs w:val="20"/>
        </w:rPr>
        <w:t xml:space="preserve"> parliaments to enhance oversight of their governments’ foreign policy actions to ensure compliance with international law, including the implementation of transparent arms export control measures, the monitoring of </w:t>
      </w:r>
      <w:r w:rsidR="00DE2CBA" w:rsidRPr="00FF6BBC">
        <w:rPr>
          <w:rFonts w:ascii="Arial" w:hAnsi="Arial" w:cs="Arial"/>
          <w:sz w:val="20"/>
          <w:szCs w:val="20"/>
        </w:rPr>
        <w:t xml:space="preserve">transfers of </w:t>
      </w:r>
      <w:r w:rsidR="00C737D6" w:rsidRPr="00FF6BBC">
        <w:rPr>
          <w:rFonts w:ascii="Arial" w:hAnsi="Arial" w:cs="Arial"/>
          <w:sz w:val="20"/>
          <w:szCs w:val="20"/>
        </w:rPr>
        <w:t>arms and military equipment to countries in conflict, and the protection of human rights</w:t>
      </w:r>
      <w:r w:rsidR="001C2840" w:rsidRPr="00FF6BBC">
        <w:rPr>
          <w:rFonts w:ascii="Arial" w:hAnsi="Arial" w:cs="Arial"/>
          <w:sz w:val="20"/>
          <w:szCs w:val="20"/>
        </w:rPr>
        <w:t>;</w:t>
      </w:r>
    </w:p>
    <w:p w14:paraId="7F95171C" w14:textId="77777777" w:rsidR="000034B0" w:rsidRPr="003B53E7" w:rsidRDefault="000034B0" w:rsidP="00647B22">
      <w:pPr>
        <w:spacing w:after="0" w:line="240" w:lineRule="auto"/>
        <w:ind w:left="1134" w:hanging="567"/>
        <w:rPr>
          <w:rFonts w:ascii="Arial" w:hAnsi="Arial" w:cs="Arial"/>
          <w:sz w:val="12"/>
          <w:szCs w:val="12"/>
        </w:rPr>
      </w:pPr>
    </w:p>
    <w:p w14:paraId="4ADE4FC5" w14:textId="28AD089A" w:rsidR="00C737D6" w:rsidRPr="00AB60A8" w:rsidRDefault="00C44314" w:rsidP="00647B22">
      <w:pPr>
        <w:spacing w:after="0" w:line="240" w:lineRule="auto"/>
        <w:ind w:left="1134" w:hanging="567"/>
        <w:rPr>
          <w:rFonts w:ascii="Arial" w:hAnsi="Arial" w:cs="Arial"/>
          <w:sz w:val="20"/>
          <w:szCs w:val="20"/>
        </w:rPr>
      </w:pPr>
      <w:r>
        <w:rPr>
          <w:rFonts w:ascii="Arial" w:hAnsi="Arial" w:cs="Arial"/>
          <w:sz w:val="20"/>
          <w:szCs w:val="20"/>
        </w:rPr>
        <w:t>4</w:t>
      </w:r>
      <w:r w:rsidR="00353475">
        <w:rPr>
          <w:rFonts w:ascii="Arial" w:hAnsi="Arial" w:cs="Arial"/>
          <w:sz w:val="20"/>
          <w:szCs w:val="20"/>
        </w:rPr>
        <w:t>.</w:t>
      </w:r>
      <w:r w:rsidR="00353475">
        <w:rPr>
          <w:rFonts w:ascii="Arial" w:hAnsi="Arial" w:cs="Arial"/>
          <w:sz w:val="20"/>
          <w:szCs w:val="20"/>
        </w:rPr>
        <w:tab/>
      </w:r>
      <w:r w:rsidR="00C737D6" w:rsidRPr="00AB60A8">
        <w:rPr>
          <w:rFonts w:ascii="Arial" w:hAnsi="Arial" w:cs="Arial"/>
          <w:i/>
          <w:iCs/>
          <w:sz w:val="20"/>
          <w:szCs w:val="20"/>
        </w:rPr>
        <w:t>Advises</w:t>
      </w:r>
      <w:r w:rsidR="00C737D6" w:rsidRPr="00AB60A8">
        <w:rPr>
          <w:rFonts w:ascii="Arial" w:hAnsi="Arial" w:cs="Arial"/>
          <w:sz w:val="20"/>
          <w:szCs w:val="20"/>
        </w:rPr>
        <w:t xml:space="preserve"> parliaments to monitor and promote respect for the </w:t>
      </w:r>
      <w:proofErr w:type="spellStart"/>
      <w:r w:rsidR="00C737D6" w:rsidRPr="00AB60A8">
        <w:rPr>
          <w:rFonts w:ascii="Arial" w:hAnsi="Arial" w:cs="Arial"/>
          <w:sz w:val="20"/>
          <w:szCs w:val="20"/>
        </w:rPr>
        <w:t>ICJ</w:t>
      </w:r>
      <w:r w:rsidR="00DE2CBA">
        <w:rPr>
          <w:rFonts w:ascii="Arial" w:hAnsi="Arial" w:cs="Arial"/>
          <w:sz w:val="20"/>
          <w:szCs w:val="20"/>
        </w:rPr>
        <w:t>’s</w:t>
      </w:r>
      <w:proofErr w:type="spellEnd"/>
      <w:r w:rsidR="00C737D6" w:rsidRPr="00AB60A8">
        <w:rPr>
          <w:rFonts w:ascii="Arial" w:hAnsi="Arial" w:cs="Arial"/>
          <w:sz w:val="20"/>
          <w:szCs w:val="20"/>
        </w:rPr>
        <w:t xml:space="preserve"> advisory opinions on the legal implications of occupation and settlement activities</w:t>
      </w:r>
      <w:r w:rsidR="001C2840">
        <w:rPr>
          <w:rFonts w:ascii="Arial" w:hAnsi="Arial" w:cs="Arial"/>
          <w:sz w:val="20"/>
          <w:szCs w:val="20"/>
        </w:rPr>
        <w:t>;</w:t>
      </w:r>
    </w:p>
    <w:p w14:paraId="65F2C07C" w14:textId="77777777" w:rsidR="000034B0" w:rsidRPr="003B53E7" w:rsidRDefault="000034B0" w:rsidP="00647B22">
      <w:pPr>
        <w:spacing w:after="0" w:line="240" w:lineRule="auto"/>
        <w:ind w:left="1134" w:hanging="567"/>
        <w:rPr>
          <w:rFonts w:ascii="Arial" w:hAnsi="Arial" w:cs="Arial"/>
          <w:sz w:val="12"/>
          <w:szCs w:val="12"/>
        </w:rPr>
      </w:pPr>
    </w:p>
    <w:p w14:paraId="4DA71F25" w14:textId="4B14FF79" w:rsidR="00C737D6" w:rsidRPr="00AB60A8" w:rsidRDefault="00C44314" w:rsidP="00647B22">
      <w:pPr>
        <w:spacing w:after="0" w:line="240" w:lineRule="auto"/>
        <w:ind w:left="1134" w:hanging="567"/>
        <w:rPr>
          <w:rFonts w:ascii="Arial" w:hAnsi="Arial" w:cs="Arial"/>
          <w:sz w:val="20"/>
          <w:szCs w:val="20"/>
        </w:rPr>
      </w:pPr>
      <w:r>
        <w:rPr>
          <w:rFonts w:ascii="Arial" w:hAnsi="Arial" w:cs="Arial"/>
          <w:sz w:val="20"/>
          <w:szCs w:val="20"/>
        </w:rPr>
        <w:t>5</w:t>
      </w:r>
      <w:r w:rsidR="00353475">
        <w:rPr>
          <w:rFonts w:ascii="Arial" w:hAnsi="Arial" w:cs="Arial"/>
          <w:sz w:val="20"/>
          <w:szCs w:val="20"/>
        </w:rPr>
        <w:t>.</w:t>
      </w:r>
      <w:r w:rsidR="00353475">
        <w:rPr>
          <w:rFonts w:ascii="Arial" w:hAnsi="Arial" w:cs="Arial"/>
          <w:sz w:val="20"/>
          <w:szCs w:val="20"/>
        </w:rPr>
        <w:tab/>
      </w:r>
      <w:r w:rsidR="00C737D6" w:rsidRPr="00AB60A8">
        <w:rPr>
          <w:rFonts w:ascii="Arial" w:hAnsi="Arial" w:cs="Arial"/>
          <w:i/>
          <w:iCs/>
          <w:sz w:val="20"/>
          <w:szCs w:val="20"/>
        </w:rPr>
        <w:t>Urges</w:t>
      </w:r>
      <w:r w:rsidR="00C737D6" w:rsidRPr="00AB60A8">
        <w:rPr>
          <w:rFonts w:ascii="Arial" w:hAnsi="Arial" w:cs="Arial"/>
          <w:sz w:val="20"/>
          <w:szCs w:val="20"/>
        </w:rPr>
        <w:t xml:space="preserve"> </w:t>
      </w:r>
      <w:r w:rsidR="00DE2CBA">
        <w:rPr>
          <w:rFonts w:ascii="Arial" w:hAnsi="Arial" w:cs="Arial"/>
          <w:sz w:val="20"/>
          <w:szCs w:val="20"/>
        </w:rPr>
        <w:t>p</w:t>
      </w:r>
      <w:r w:rsidR="00DE2CBA" w:rsidRPr="00AB60A8">
        <w:rPr>
          <w:rFonts w:ascii="Arial" w:hAnsi="Arial" w:cs="Arial"/>
          <w:sz w:val="20"/>
          <w:szCs w:val="20"/>
        </w:rPr>
        <w:t xml:space="preserve">arliaments </w:t>
      </w:r>
      <w:r w:rsidR="00C737D6" w:rsidRPr="00AB60A8">
        <w:rPr>
          <w:rFonts w:ascii="Arial" w:hAnsi="Arial" w:cs="Arial"/>
          <w:sz w:val="20"/>
          <w:szCs w:val="20"/>
        </w:rPr>
        <w:t>to use their legislative powers to enact or amend laws that reinforce support for a two-</w:t>
      </w:r>
      <w:r w:rsidR="00DE2CBA">
        <w:rPr>
          <w:rFonts w:ascii="Arial" w:hAnsi="Arial" w:cs="Arial"/>
          <w:sz w:val="20"/>
          <w:szCs w:val="20"/>
        </w:rPr>
        <w:t>S</w:t>
      </w:r>
      <w:r w:rsidR="00DE2CBA" w:rsidRPr="00AB60A8">
        <w:rPr>
          <w:rFonts w:ascii="Arial" w:hAnsi="Arial" w:cs="Arial"/>
          <w:sz w:val="20"/>
          <w:szCs w:val="20"/>
        </w:rPr>
        <w:t xml:space="preserve">tate </w:t>
      </w:r>
      <w:r w:rsidR="00C737D6" w:rsidRPr="00AB60A8">
        <w:rPr>
          <w:rFonts w:ascii="Arial" w:hAnsi="Arial" w:cs="Arial"/>
          <w:sz w:val="20"/>
          <w:szCs w:val="20"/>
        </w:rPr>
        <w:t xml:space="preserve">solution, ensuring the recognition of both Israel and Palestine as independent sovereign </w:t>
      </w:r>
      <w:r w:rsidR="00DE2CBA">
        <w:rPr>
          <w:rFonts w:ascii="Arial" w:hAnsi="Arial" w:cs="Arial"/>
          <w:sz w:val="20"/>
          <w:szCs w:val="20"/>
        </w:rPr>
        <w:t>S</w:t>
      </w:r>
      <w:r w:rsidR="00DE2CBA" w:rsidRPr="00AB60A8">
        <w:rPr>
          <w:rFonts w:ascii="Arial" w:hAnsi="Arial" w:cs="Arial"/>
          <w:sz w:val="20"/>
          <w:szCs w:val="20"/>
        </w:rPr>
        <w:t>tates</w:t>
      </w:r>
      <w:r w:rsidR="001C2840">
        <w:rPr>
          <w:rFonts w:ascii="Arial" w:hAnsi="Arial" w:cs="Arial"/>
          <w:sz w:val="20"/>
          <w:szCs w:val="20"/>
        </w:rPr>
        <w:t>;</w:t>
      </w:r>
    </w:p>
    <w:p w14:paraId="2412A2F5" w14:textId="77777777" w:rsidR="000034B0" w:rsidRPr="003B53E7" w:rsidRDefault="000034B0" w:rsidP="00647B22">
      <w:pPr>
        <w:pStyle w:val="NormalWeb"/>
        <w:spacing w:before="0" w:beforeAutospacing="0" w:after="0" w:afterAutospacing="0"/>
        <w:ind w:left="1134" w:hanging="567"/>
        <w:rPr>
          <w:rStyle w:val="lev"/>
          <w:rFonts w:ascii="Arial" w:hAnsi="Arial" w:cs="Arial"/>
          <w:b w:val="0"/>
          <w:bCs w:val="0"/>
          <w:sz w:val="12"/>
          <w:szCs w:val="12"/>
          <w:lang w:val="en-GB"/>
        </w:rPr>
      </w:pPr>
    </w:p>
    <w:p w14:paraId="1F629B78" w14:textId="5AB5EDCE" w:rsidR="00C737D6" w:rsidRPr="00AB60A8" w:rsidRDefault="00C44314" w:rsidP="00647B22">
      <w:pPr>
        <w:spacing w:after="0" w:line="240" w:lineRule="auto"/>
        <w:ind w:left="1134" w:hanging="567"/>
        <w:rPr>
          <w:rFonts w:ascii="Arial" w:hAnsi="Arial" w:cs="Arial"/>
          <w:sz w:val="20"/>
          <w:szCs w:val="20"/>
        </w:rPr>
      </w:pPr>
      <w:r>
        <w:rPr>
          <w:rStyle w:val="lev"/>
          <w:rFonts w:ascii="Arial" w:eastAsiaTheme="majorEastAsia" w:hAnsi="Arial" w:cs="Arial"/>
          <w:b w:val="0"/>
          <w:bCs w:val="0"/>
          <w:sz w:val="20"/>
          <w:szCs w:val="20"/>
        </w:rPr>
        <w:t>6</w:t>
      </w:r>
      <w:r w:rsidR="00353475">
        <w:rPr>
          <w:rStyle w:val="lev"/>
          <w:rFonts w:ascii="Arial" w:eastAsiaTheme="majorEastAsia" w:hAnsi="Arial" w:cs="Arial"/>
          <w:b w:val="0"/>
          <w:bCs w:val="0"/>
          <w:sz w:val="20"/>
          <w:szCs w:val="20"/>
        </w:rPr>
        <w:t>.</w:t>
      </w:r>
      <w:r w:rsidR="00353475">
        <w:rPr>
          <w:rStyle w:val="lev"/>
          <w:rFonts w:ascii="Arial" w:eastAsiaTheme="majorEastAsia" w:hAnsi="Arial" w:cs="Arial"/>
          <w:b w:val="0"/>
          <w:bCs w:val="0"/>
          <w:sz w:val="20"/>
          <w:szCs w:val="20"/>
        </w:rPr>
        <w:tab/>
      </w:r>
      <w:r w:rsidR="00C737D6" w:rsidRPr="00C44314">
        <w:rPr>
          <w:rStyle w:val="lev"/>
          <w:rFonts w:ascii="Arial" w:eastAsiaTheme="majorEastAsia" w:hAnsi="Arial" w:cs="Arial"/>
          <w:b w:val="0"/>
          <w:bCs w:val="0"/>
          <w:i/>
          <w:iCs/>
          <w:sz w:val="20"/>
          <w:szCs w:val="20"/>
        </w:rPr>
        <w:t>Appeals</w:t>
      </w:r>
      <w:r w:rsidR="00C737D6" w:rsidRPr="00AB60A8">
        <w:rPr>
          <w:rStyle w:val="lev"/>
          <w:rFonts w:ascii="Arial" w:eastAsiaTheme="majorEastAsia" w:hAnsi="Arial" w:cs="Arial"/>
          <w:b w:val="0"/>
          <w:bCs w:val="0"/>
          <w:sz w:val="20"/>
          <w:szCs w:val="20"/>
        </w:rPr>
        <w:t xml:space="preserve"> to</w:t>
      </w:r>
      <w:r w:rsidR="00C737D6" w:rsidRPr="00AB60A8">
        <w:rPr>
          <w:rFonts w:ascii="Arial" w:hAnsi="Arial" w:cs="Arial"/>
          <w:sz w:val="20"/>
          <w:szCs w:val="20"/>
        </w:rPr>
        <w:t xml:space="preserve"> parliaments to advocate for their governments to support the recognition of Palestinian statehood, including the accession of Palestine as a full </w:t>
      </w:r>
      <w:r w:rsidR="009E2220">
        <w:rPr>
          <w:rFonts w:ascii="Arial" w:hAnsi="Arial" w:cs="Arial"/>
          <w:sz w:val="20"/>
          <w:szCs w:val="20"/>
        </w:rPr>
        <w:t>M</w:t>
      </w:r>
      <w:r w:rsidR="00C737D6" w:rsidRPr="00AB60A8">
        <w:rPr>
          <w:rFonts w:ascii="Arial" w:hAnsi="Arial" w:cs="Arial"/>
          <w:sz w:val="20"/>
          <w:szCs w:val="20"/>
        </w:rPr>
        <w:t>ember of the United Nations, as a key step towards a two-</w:t>
      </w:r>
      <w:r w:rsidR="00DE2CBA">
        <w:rPr>
          <w:rFonts w:ascii="Arial" w:hAnsi="Arial" w:cs="Arial"/>
          <w:sz w:val="20"/>
          <w:szCs w:val="20"/>
        </w:rPr>
        <w:t>S</w:t>
      </w:r>
      <w:r w:rsidR="00DE2CBA" w:rsidRPr="00AB60A8">
        <w:rPr>
          <w:rFonts w:ascii="Arial" w:hAnsi="Arial" w:cs="Arial"/>
          <w:sz w:val="20"/>
          <w:szCs w:val="20"/>
        </w:rPr>
        <w:t xml:space="preserve">tate </w:t>
      </w:r>
      <w:r w:rsidR="00C737D6" w:rsidRPr="00AB60A8">
        <w:rPr>
          <w:rFonts w:ascii="Arial" w:hAnsi="Arial" w:cs="Arial"/>
          <w:sz w:val="20"/>
          <w:szCs w:val="20"/>
        </w:rPr>
        <w:t>solution, and to back the implementation of a comprehensive peace process, led by the United Nations, aimed at achieving a just, lasting and comprehensive peace</w:t>
      </w:r>
      <w:r w:rsidR="001C2840">
        <w:rPr>
          <w:rFonts w:ascii="Arial" w:hAnsi="Arial" w:cs="Arial"/>
          <w:sz w:val="20"/>
          <w:szCs w:val="20"/>
        </w:rPr>
        <w:t>;</w:t>
      </w:r>
    </w:p>
    <w:p w14:paraId="24F319F2" w14:textId="1FDB24A5" w:rsidR="00C737D6" w:rsidRPr="00AB60A8" w:rsidRDefault="00C44314" w:rsidP="00647B22">
      <w:pPr>
        <w:spacing w:after="0" w:line="240" w:lineRule="auto"/>
        <w:ind w:left="1134" w:hanging="567"/>
        <w:rPr>
          <w:rFonts w:ascii="Arial" w:hAnsi="Arial" w:cs="Arial"/>
          <w:sz w:val="20"/>
          <w:szCs w:val="20"/>
        </w:rPr>
      </w:pPr>
      <w:r>
        <w:rPr>
          <w:rFonts w:ascii="Arial" w:hAnsi="Arial" w:cs="Arial"/>
          <w:sz w:val="20"/>
          <w:szCs w:val="20"/>
        </w:rPr>
        <w:lastRenderedPageBreak/>
        <w:t>7</w:t>
      </w:r>
      <w:r w:rsidR="00353475" w:rsidRPr="00353475">
        <w:rPr>
          <w:rFonts w:ascii="Arial" w:hAnsi="Arial" w:cs="Arial"/>
          <w:sz w:val="20"/>
          <w:szCs w:val="20"/>
        </w:rPr>
        <w:t>.</w:t>
      </w:r>
      <w:r w:rsidR="00353475">
        <w:rPr>
          <w:rFonts w:ascii="Arial" w:hAnsi="Arial" w:cs="Arial"/>
          <w:i/>
          <w:iCs/>
          <w:sz w:val="20"/>
          <w:szCs w:val="20"/>
        </w:rPr>
        <w:tab/>
      </w:r>
      <w:r w:rsidR="00C737D6" w:rsidRPr="00AB60A8">
        <w:rPr>
          <w:rFonts w:ascii="Arial" w:hAnsi="Arial" w:cs="Arial"/>
          <w:i/>
          <w:iCs/>
          <w:sz w:val="20"/>
          <w:szCs w:val="20"/>
        </w:rPr>
        <w:t>Expresses its hope</w:t>
      </w:r>
      <w:r w:rsidR="00C737D6" w:rsidRPr="00AB60A8" w:rsidDel="009F26EC">
        <w:rPr>
          <w:rFonts w:ascii="Arial" w:hAnsi="Arial" w:cs="Arial"/>
          <w:i/>
          <w:iCs/>
          <w:sz w:val="20"/>
          <w:szCs w:val="20"/>
        </w:rPr>
        <w:t xml:space="preserve"> </w:t>
      </w:r>
      <w:r w:rsidR="00C737D6" w:rsidRPr="00AB60A8">
        <w:rPr>
          <w:rFonts w:ascii="Arial" w:hAnsi="Arial" w:cs="Arial"/>
          <w:i/>
          <w:iCs/>
          <w:sz w:val="20"/>
          <w:szCs w:val="20"/>
        </w:rPr>
        <w:t>for</w:t>
      </w:r>
      <w:r w:rsidR="00C737D6" w:rsidRPr="00AB60A8">
        <w:rPr>
          <w:rFonts w:ascii="Arial" w:hAnsi="Arial" w:cs="Arial"/>
          <w:sz w:val="20"/>
          <w:szCs w:val="20"/>
        </w:rPr>
        <w:t xml:space="preserve"> strengthened parliamentary diplomacy aimed at facilitating dialogue between Israeli and Palestinian representatives, supporting a two-</w:t>
      </w:r>
      <w:r w:rsidR="00DE2CBA">
        <w:rPr>
          <w:rFonts w:ascii="Arial" w:hAnsi="Arial" w:cs="Arial"/>
          <w:sz w:val="20"/>
          <w:szCs w:val="20"/>
        </w:rPr>
        <w:t>S</w:t>
      </w:r>
      <w:r w:rsidR="00DE2CBA" w:rsidRPr="00AB60A8">
        <w:rPr>
          <w:rFonts w:ascii="Arial" w:hAnsi="Arial" w:cs="Arial"/>
          <w:sz w:val="20"/>
          <w:szCs w:val="20"/>
        </w:rPr>
        <w:t xml:space="preserve">tate </w:t>
      </w:r>
      <w:r w:rsidR="00C737D6" w:rsidRPr="00AB60A8">
        <w:rPr>
          <w:rFonts w:ascii="Arial" w:hAnsi="Arial" w:cs="Arial"/>
          <w:sz w:val="20"/>
          <w:szCs w:val="20"/>
        </w:rPr>
        <w:t xml:space="preserve">solution and fostering peaceful coexistence between </w:t>
      </w:r>
      <w:r w:rsidR="00DE2CBA">
        <w:rPr>
          <w:rFonts w:ascii="Arial" w:hAnsi="Arial" w:cs="Arial"/>
          <w:sz w:val="20"/>
          <w:szCs w:val="20"/>
        </w:rPr>
        <w:t xml:space="preserve">the </w:t>
      </w:r>
      <w:r w:rsidR="00C737D6" w:rsidRPr="00AB60A8">
        <w:rPr>
          <w:rFonts w:ascii="Arial" w:hAnsi="Arial" w:cs="Arial"/>
          <w:sz w:val="20"/>
          <w:szCs w:val="20"/>
        </w:rPr>
        <w:t>Israeli and Palestinian peoples, through direct engagement with inter-parliamentary institutions and networks, multilateral parliamentary forums and relevant U</w:t>
      </w:r>
      <w:r w:rsidR="009E2220">
        <w:rPr>
          <w:rFonts w:ascii="Arial" w:hAnsi="Arial" w:cs="Arial"/>
          <w:sz w:val="20"/>
          <w:szCs w:val="20"/>
        </w:rPr>
        <w:t>nited Nations</w:t>
      </w:r>
      <w:r w:rsidR="00C737D6" w:rsidRPr="00AB60A8">
        <w:rPr>
          <w:rFonts w:ascii="Arial" w:hAnsi="Arial" w:cs="Arial"/>
          <w:sz w:val="20"/>
          <w:szCs w:val="20"/>
        </w:rPr>
        <w:t xml:space="preserve"> agencies</w:t>
      </w:r>
      <w:r w:rsidR="001C2840">
        <w:rPr>
          <w:rFonts w:ascii="Arial" w:hAnsi="Arial" w:cs="Arial"/>
          <w:sz w:val="20"/>
          <w:szCs w:val="20"/>
        </w:rPr>
        <w:t>;</w:t>
      </w:r>
    </w:p>
    <w:p w14:paraId="15427F63" w14:textId="77777777" w:rsidR="000034B0" w:rsidRPr="004F6AAB" w:rsidRDefault="000034B0" w:rsidP="00647B22">
      <w:pPr>
        <w:spacing w:after="0" w:line="240" w:lineRule="auto"/>
        <w:ind w:left="1134" w:hanging="567"/>
        <w:rPr>
          <w:rFonts w:ascii="Arial" w:hAnsi="Arial" w:cs="Arial"/>
          <w:sz w:val="16"/>
          <w:szCs w:val="16"/>
        </w:rPr>
      </w:pPr>
    </w:p>
    <w:p w14:paraId="1D371A1B" w14:textId="5A88A982" w:rsidR="00C737D6" w:rsidRPr="00AB60A8" w:rsidRDefault="00C44314" w:rsidP="00647B22">
      <w:pPr>
        <w:spacing w:after="0" w:line="240" w:lineRule="auto"/>
        <w:ind w:left="1134" w:hanging="567"/>
        <w:rPr>
          <w:rFonts w:ascii="Arial" w:hAnsi="Arial" w:cs="Arial"/>
          <w:sz w:val="20"/>
          <w:szCs w:val="20"/>
        </w:rPr>
      </w:pPr>
      <w:r>
        <w:rPr>
          <w:rFonts w:ascii="Arial" w:hAnsi="Arial" w:cs="Arial"/>
          <w:sz w:val="20"/>
          <w:szCs w:val="20"/>
        </w:rPr>
        <w:t>8</w:t>
      </w:r>
      <w:r w:rsidR="00353475" w:rsidRPr="00353475">
        <w:rPr>
          <w:rFonts w:ascii="Arial" w:hAnsi="Arial" w:cs="Arial"/>
          <w:sz w:val="20"/>
          <w:szCs w:val="20"/>
        </w:rPr>
        <w:t>.</w:t>
      </w:r>
      <w:r w:rsidR="00353475">
        <w:rPr>
          <w:rFonts w:ascii="Arial" w:hAnsi="Arial" w:cs="Arial"/>
          <w:i/>
          <w:iCs/>
          <w:sz w:val="20"/>
          <w:szCs w:val="20"/>
        </w:rPr>
        <w:tab/>
      </w:r>
      <w:r w:rsidR="00C737D6" w:rsidRPr="00AB60A8">
        <w:rPr>
          <w:rFonts w:ascii="Arial" w:hAnsi="Arial" w:cs="Arial"/>
          <w:i/>
          <w:iCs/>
          <w:sz w:val="20"/>
          <w:szCs w:val="20"/>
        </w:rPr>
        <w:t>Strongly encourages</w:t>
      </w:r>
      <w:r w:rsidR="00C737D6" w:rsidRPr="00AB60A8" w:rsidDel="002A3F6D">
        <w:rPr>
          <w:rFonts w:ascii="Arial" w:hAnsi="Arial" w:cs="Arial"/>
          <w:i/>
          <w:iCs/>
          <w:sz w:val="20"/>
          <w:szCs w:val="20"/>
        </w:rPr>
        <w:t xml:space="preserve"> </w:t>
      </w:r>
      <w:r w:rsidR="00C737D6" w:rsidRPr="00AB60A8">
        <w:rPr>
          <w:rFonts w:ascii="Arial" w:hAnsi="Arial" w:cs="Arial"/>
          <w:sz w:val="20"/>
          <w:szCs w:val="20"/>
        </w:rPr>
        <w:t>the Parliaments of Israel and Palestine to engage in indirect parliamentary diplomacy, facilitated by neutral third parties such as the IPU, promot</w:t>
      </w:r>
      <w:r w:rsidR="008A7F00">
        <w:rPr>
          <w:rFonts w:ascii="Arial" w:hAnsi="Arial" w:cs="Arial"/>
          <w:sz w:val="20"/>
          <w:szCs w:val="20"/>
        </w:rPr>
        <w:t>ing</w:t>
      </w:r>
      <w:r w:rsidR="00C737D6" w:rsidRPr="00AB60A8">
        <w:rPr>
          <w:rFonts w:ascii="Arial" w:hAnsi="Arial" w:cs="Arial"/>
          <w:sz w:val="20"/>
          <w:szCs w:val="20"/>
        </w:rPr>
        <w:t xml:space="preserve"> dialogue and cooperation on shared issues of concern, including security, health, education, humanitarian access, economic development and environmental protection</w:t>
      </w:r>
      <w:r w:rsidR="001C2840">
        <w:rPr>
          <w:rFonts w:ascii="Arial" w:hAnsi="Arial" w:cs="Arial"/>
          <w:sz w:val="20"/>
          <w:szCs w:val="20"/>
        </w:rPr>
        <w:t>;</w:t>
      </w:r>
    </w:p>
    <w:p w14:paraId="17921884" w14:textId="77777777" w:rsidR="000034B0" w:rsidRPr="00AE7A42" w:rsidRDefault="000034B0" w:rsidP="00647B22">
      <w:pPr>
        <w:spacing w:after="0" w:line="240" w:lineRule="auto"/>
        <w:ind w:left="1134" w:hanging="567"/>
        <w:rPr>
          <w:rFonts w:ascii="Arial" w:hAnsi="Arial" w:cs="Arial"/>
          <w:sz w:val="16"/>
          <w:szCs w:val="16"/>
        </w:rPr>
      </w:pPr>
    </w:p>
    <w:p w14:paraId="65F13255" w14:textId="47DBD68A" w:rsidR="00C737D6" w:rsidRPr="00C44314" w:rsidRDefault="00C44314" w:rsidP="00647B22">
      <w:pPr>
        <w:spacing w:after="0" w:line="240" w:lineRule="auto"/>
        <w:ind w:left="1134" w:hanging="567"/>
        <w:rPr>
          <w:rFonts w:ascii="Arial" w:hAnsi="Arial" w:cs="Arial"/>
          <w:sz w:val="20"/>
          <w:szCs w:val="20"/>
        </w:rPr>
      </w:pPr>
      <w:r w:rsidRPr="00C44314">
        <w:rPr>
          <w:rFonts w:ascii="Arial" w:hAnsi="Arial" w:cs="Arial"/>
          <w:sz w:val="20"/>
          <w:szCs w:val="20"/>
        </w:rPr>
        <w:t>9</w:t>
      </w:r>
      <w:r w:rsidR="00353475" w:rsidRPr="00C44314">
        <w:rPr>
          <w:rFonts w:ascii="Arial" w:hAnsi="Arial" w:cs="Arial"/>
          <w:sz w:val="20"/>
          <w:szCs w:val="20"/>
        </w:rPr>
        <w:t>.</w:t>
      </w:r>
      <w:r w:rsidR="00353475" w:rsidRPr="00C44314">
        <w:rPr>
          <w:rFonts w:ascii="Arial" w:hAnsi="Arial" w:cs="Arial"/>
          <w:i/>
          <w:iCs/>
          <w:sz w:val="20"/>
          <w:szCs w:val="20"/>
        </w:rPr>
        <w:tab/>
      </w:r>
      <w:r w:rsidR="00C737D6" w:rsidRPr="00C44314">
        <w:rPr>
          <w:rFonts w:ascii="Arial" w:hAnsi="Arial" w:cs="Arial"/>
          <w:i/>
          <w:iCs/>
          <w:sz w:val="20"/>
          <w:szCs w:val="20"/>
        </w:rPr>
        <w:t>Invites</w:t>
      </w:r>
      <w:r w:rsidR="00C737D6" w:rsidRPr="00C44314">
        <w:rPr>
          <w:rFonts w:ascii="Arial" w:hAnsi="Arial" w:cs="Arial"/>
          <w:sz w:val="20"/>
          <w:szCs w:val="20"/>
        </w:rPr>
        <w:t xml:space="preserve"> parliaments to provide financial and technical support for electoral processes and their follow-up</w:t>
      </w:r>
      <w:r w:rsidR="00A3449B" w:rsidRPr="00C44314">
        <w:rPr>
          <w:rFonts w:ascii="Arial" w:hAnsi="Arial" w:cs="Arial"/>
          <w:sz w:val="20"/>
          <w:szCs w:val="20"/>
        </w:rPr>
        <w:t xml:space="preserve"> in due time </w:t>
      </w:r>
      <w:r w:rsidR="00C737D6" w:rsidRPr="00C44314">
        <w:rPr>
          <w:rFonts w:ascii="Arial" w:hAnsi="Arial" w:cs="Arial"/>
          <w:sz w:val="20"/>
          <w:szCs w:val="20"/>
        </w:rPr>
        <w:t>in Palestine to allow for the holding of regular, free, fair and transparent elections</w:t>
      </w:r>
      <w:r w:rsidR="00DE2CBA">
        <w:rPr>
          <w:rFonts w:ascii="Arial" w:hAnsi="Arial" w:cs="Arial"/>
          <w:sz w:val="20"/>
          <w:szCs w:val="20"/>
        </w:rPr>
        <w:t>,</w:t>
      </w:r>
      <w:r w:rsidR="00C737D6" w:rsidRPr="00C44314">
        <w:rPr>
          <w:rFonts w:ascii="Arial" w:hAnsi="Arial" w:cs="Arial"/>
          <w:sz w:val="20"/>
          <w:szCs w:val="20"/>
        </w:rPr>
        <w:t xml:space="preserve"> and to promote democracy, good governance, peace and security</w:t>
      </w:r>
      <w:r w:rsidR="001C2840">
        <w:rPr>
          <w:rFonts w:ascii="Arial" w:hAnsi="Arial" w:cs="Arial"/>
          <w:sz w:val="20"/>
          <w:szCs w:val="20"/>
        </w:rPr>
        <w:t>;</w:t>
      </w:r>
    </w:p>
    <w:p w14:paraId="46E24D38" w14:textId="77777777" w:rsidR="00A3449B" w:rsidRPr="004F6AAB" w:rsidRDefault="00A3449B" w:rsidP="00647B22">
      <w:pPr>
        <w:spacing w:after="0" w:line="240" w:lineRule="auto"/>
        <w:ind w:left="1134" w:hanging="567"/>
        <w:rPr>
          <w:rFonts w:ascii="Arial" w:hAnsi="Arial" w:cs="Arial"/>
          <w:sz w:val="16"/>
          <w:szCs w:val="16"/>
        </w:rPr>
      </w:pPr>
    </w:p>
    <w:p w14:paraId="7124CD61" w14:textId="048A95F1" w:rsidR="00C737D6" w:rsidRPr="00C44314" w:rsidRDefault="00353475" w:rsidP="00647B22">
      <w:pPr>
        <w:spacing w:after="0" w:line="240" w:lineRule="auto"/>
        <w:ind w:left="1134" w:hanging="567"/>
        <w:rPr>
          <w:rFonts w:ascii="Arial" w:hAnsi="Arial" w:cs="Arial"/>
          <w:sz w:val="20"/>
          <w:szCs w:val="20"/>
        </w:rPr>
      </w:pPr>
      <w:r w:rsidRPr="00C44314">
        <w:rPr>
          <w:rFonts w:ascii="Arial" w:hAnsi="Arial" w:cs="Arial"/>
          <w:sz w:val="20"/>
          <w:szCs w:val="20"/>
        </w:rPr>
        <w:t>1</w:t>
      </w:r>
      <w:r w:rsidR="00C44314" w:rsidRPr="00C44314">
        <w:rPr>
          <w:rFonts w:ascii="Arial" w:hAnsi="Arial" w:cs="Arial"/>
          <w:sz w:val="20"/>
          <w:szCs w:val="20"/>
        </w:rPr>
        <w:t>0</w:t>
      </w:r>
      <w:r w:rsidRPr="00C44314">
        <w:rPr>
          <w:rFonts w:ascii="Arial" w:hAnsi="Arial" w:cs="Arial"/>
          <w:sz w:val="20"/>
          <w:szCs w:val="20"/>
        </w:rPr>
        <w:t>.</w:t>
      </w:r>
      <w:r w:rsidRPr="00C44314">
        <w:rPr>
          <w:rFonts w:ascii="Arial" w:hAnsi="Arial" w:cs="Arial"/>
          <w:sz w:val="20"/>
          <w:szCs w:val="20"/>
        </w:rPr>
        <w:tab/>
      </w:r>
      <w:r w:rsidR="00C737D6" w:rsidRPr="00C44314">
        <w:rPr>
          <w:rFonts w:ascii="Arial" w:hAnsi="Arial" w:cs="Arial"/>
          <w:i/>
          <w:iCs/>
          <w:sz w:val="20"/>
          <w:szCs w:val="20"/>
        </w:rPr>
        <w:t>Urges</w:t>
      </w:r>
      <w:r w:rsidR="00C737D6" w:rsidRPr="00C44314">
        <w:rPr>
          <w:rFonts w:ascii="Arial" w:hAnsi="Arial" w:cs="Arial"/>
          <w:sz w:val="20"/>
          <w:szCs w:val="20"/>
        </w:rPr>
        <w:t xml:space="preserve"> </w:t>
      </w:r>
      <w:r w:rsidR="00DE2CBA">
        <w:rPr>
          <w:rFonts w:ascii="Arial" w:hAnsi="Arial" w:cs="Arial"/>
          <w:sz w:val="20"/>
          <w:szCs w:val="20"/>
        </w:rPr>
        <w:t>p</w:t>
      </w:r>
      <w:r w:rsidR="00DE2CBA" w:rsidRPr="00C44314">
        <w:rPr>
          <w:rFonts w:ascii="Arial" w:hAnsi="Arial" w:cs="Arial"/>
          <w:sz w:val="20"/>
          <w:szCs w:val="20"/>
        </w:rPr>
        <w:t xml:space="preserve">arliaments </w:t>
      </w:r>
      <w:r w:rsidR="00C737D6" w:rsidRPr="00C44314">
        <w:rPr>
          <w:rFonts w:ascii="Arial" w:hAnsi="Arial" w:cs="Arial"/>
          <w:sz w:val="20"/>
          <w:szCs w:val="20"/>
        </w:rPr>
        <w:t>to participate in</w:t>
      </w:r>
      <w:r w:rsidR="00492B21">
        <w:rPr>
          <w:rFonts w:ascii="Arial" w:hAnsi="Arial" w:cs="Arial"/>
          <w:sz w:val="20"/>
          <w:szCs w:val="20"/>
        </w:rPr>
        <w:t>, and the IPU to facilitate and coordinate,</w:t>
      </w:r>
      <w:r w:rsidR="00C737D6" w:rsidRPr="00C44314">
        <w:rPr>
          <w:rFonts w:ascii="Arial" w:hAnsi="Arial" w:cs="Arial"/>
          <w:sz w:val="20"/>
          <w:szCs w:val="20"/>
        </w:rPr>
        <w:t xml:space="preserve"> monitoring of the political situation and electoral processes in </w:t>
      </w:r>
      <w:r w:rsidR="00A3449B" w:rsidRPr="00C44314">
        <w:rPr>
          <w:rFonts w:ascii="Arial" w:hAnsi="Arial" w:cs="Arial"/>
          <w:sz w:val="20"/>
          <w:szCs w:val="20"/>
        </w:rPr>
        <w:t xml:space="preserve">both Israel and </w:t>
      </w:r>
      <w:r w:rsidR="00C737D6" w:rsidRPr="00C44314">
        <w:rPr>
          <w:rFonts w:ascii="Arial" w:hAnsi="Arial" w:cs="Arial"/>
          <w:sz w:val="20"/>
          <w:szCs w:val="20"/>
        </w:rPr>
        <w:t>Palestine, including through the deployment of election observation missions</w:t>
      </w:r>
      <w:r w:rsidR="001C2840">
        <w:rPr>
          <w:rFonts w:ascii="Arial" w:hAnsi="Arial" w:cs="Arial"/>
          <w:sz w:val="20"/>
          <w:szCs w:val="20"/>
        </w:rPr>
        <w:t>;</w:t>
      </w:r>
    </w:p>
    <w:p w14:paraId="14EE7CD5" w14:textId="77777777" w:rsidR="00AF4DB7" w:rsidRPr="004F6AAB" w:rsidRDefault="00AF4DB7" w:rsidP="00647B22">
      <w:pPr>
        <w:spacing w:after="0" w:line="240" w:lineRule="auto"/>
        <w:ind w:left="1134" w:hanging="567"/>
        <w:rPr>
          <w:rFonts w:ascii="Arial" w:hAnsi="Arial" w:cs="Arial"/>
          <w:sz w:val="16"/>
          <w:szCs w:val="16"/>
        </w:rPr>
      </w:pPr>
    </w:p>
    <w:p w14:paraId="2BE7EEA9" w14:textId="32B0F46C" w:rsidR="00C737D6" w:rsidRPr="00C44314" w:rsidRDefault="00353475" w:rsidP="00647B22">
      <w:pPr>
        <w:spacing w:after="0" w:line="240" w:lineRule="auto"/>
        <w:ind w:left="1134" w:hanging="567"/>
        <w:rPr>
          <w:rFonts w:ascii="Arial" w:hAnsi="Arial" w:cs="Arial"/>
          <w:sz w:val="20"/>
          <w:szCs w:val="20"/>
        </w:rPr>
      </w:pPr>
      <w:r w:rsidRPr="00C44314">
        <w:rPr>
          <w:rFonts w:ascii="Arial" w:hAnsi="Arial" w:cs="Arial"/>
          <w:sz w:val="20"/>
          <w:szCs w:val="20"/>
        </w:rPr>
        <w:t>1</w:t>
      </w:r>
      <w:r w:rsidR="00C44314" w:rsidRPr="00C44314">
        <w:rPr>
          <w:rFonts w:ascii="Arial" w:hAnsi="Arial" w:cs="Arial"/>
          <w:sz w:val="20"/>
          <w:szCs w:val="20"/>
        </w:rPr>
        <w:t>1</w:t>
      </w:r>
      <w:r w:rsidRPr="00C44314">
        <w:rPr>
          <w:rFonts w:ascii="Arial" w:hAnsi="Arial" w:cs="Arial"/>
          <w:sz w:val="20"/>
          <w:szCs w:val="20"/>
        </w:rPr>
        <w:t>.</w:t>
      </w:r>
      <w:r w:rsidRPr="00C44314">
        <w:rPr>
          <w:rFonts w:ascii="Arial" w:hAnsi="Arial" w:cs="Arial"/>
          <w:sz w:val="20"/>
          <w:szCs w:val="20"/>
        </w:rPr>
        <w:tab/>
      </w:r>
      <w:r w:rsidR="00C737D6" w:rsidRPr="00C44314">
        <w:rPr>
          <w:rFonts w:ascii="Arial" w:hAnsi="Arial" w:cs="Arial"/>
          <w:i/>
          <w:iCs/>
          <w:sz w:val="20"/>
          <w:szCs w:val="20"/>
        </w:rPr>
        <w:t xml:space="preserve">Calls on </w:t>
      </w:r>
      <w:r w:rsidR="00A62050">
        <w:rPr>
          <w:rFonts w:ascii="Arial" w:hAnsi="Arial" w:cs="Arial"/>
          <w:sz w:val="20"/>
          <w:szCs w:val="20"/>
        </w:rPr>
        <w:t>p</w:t>
      </w:r>
      <w:r w:rsidR="00A62050" w:rsidRPr="00C44314">
        <w:rPr>
          <w:rFonts w:ascii="Arial" w:hAnsi="Arial" w:cs="Arial"/>
          <w:sz w:val="20"/>
          <w:szCs w:val="20"/>
        </w:rPr>
        <w:t>arliaments</w:t>
      </w:r>
      <w:r w:rsidR="00AF4DB7" w:rsidRPr="00C44314">
        <w:rPr>
          <w:rFonts w:ascii="Arial" w:hAnsi="Arial" w:cs="Arial"/>
          <w:sz w:val="20"/>
          <w:szCs w:val="20"/>
        </w:rPr>
        <w:t xml:space="preserve">, including regional </w:t>
      </w:r>
      <w:r w:rsidR="0082306B" w:rsidRPr="00C44314">
        <w:rPr>
          <w:rFonts w:ascii="Arial" w:hAnsi="Arial" w:cs="Arial"/>
          <w:sz w:val="20"/>
          <w:szCs w:val="20"/>
        </w:rPr>
        <w:t>p</w:t>
      </w:r>
      <w:r w:rsidR="00AF4DB7" w:rsidRPr="00C44314">
        <w:rPr>
          <w:rFonts w:ascii="Arial" w:hAnsi="Arial" w:cs="Arial"/>
          <w:sz w:val="20"/>
          <w:szCs w:val="20"/>
        </w:rPr>
        <w:t xml:space="preserve">arliamentary </w:t>
      </w:r>
      <w:r w:rsidR="0082306B" w:rsidRPr="00C44314">
        <w:rPr>
          <w:rFonts w:ascii="Arial" w:hAnsi="Arial" w:cs="Arial"/>
          <w:sz w:val="20"/>
          <w:szCs w:val="20"/>
        </w:rPr>
        <w:t>bod</w:t>
      </w:r>
      <w:r w:rsidR="00AF4DB7" w:rsidRPr="00C44314">
        <w:rPr>
          <w:rFonts w:ascii="Arial" w:hAnsi="Arial" w:cs="Arial"/>
          <w:sz w:val="20"/>
          <w:szCs w:val="20"/>
        </w:rPr>
        <w:t>ies,</w:t>
      </w:r>
      <w:r w:rsidR="00C737D6" w:rsidRPr="00C44314">
        <w:rPr>
          <w:rFonts w:ascii="Arial" w:hAnsi="Arial" w:cs="Arial"/>
          <w:sz w:val="20"/>
          <w:szCs w:val="20"/>
        </w:rPr>
        <w:t xml:space="preserve"> to provide, and on the IPU to facilitate and coordinate, technical assistance, including legislative capacity-building support to the Parliaments of Israel and Palestine, with the aim of strengthening their core parliamentary functions in support of peace, democracy and a two-</w:t>
      </w:r>
      <w:r w:rsidR="00A62050">
        <w:rPr>
          <w:rFonts w:ascii="Arial" w:hAnsi="Arial" w:cs="Arial"/>
          <w:sz w:val="20"/>
          <w:szCs w:val="20"/>
        </w:rPr>
        <w:t>S</w:t>
      </w:r>
      <w:r w:rsidR="00A62050" w:rsidRPr="00C44314">
        <w:rPr>
          <w:rFonts w:ascii="Arial" w:hAnsi="Arial" w:cs="Arial"/>
          <w:sz w:val="20"/>
          <w:szCs w:val="20"/>
        </w:rPr>
        <w:t xml:space="preserve">tate </w:t>
      </w:r>
      <w:r w:rsidR="00C737D6" w:rsidRPr="00C44314">
        <w:rPr>
          <w:rFonts w:ascii="Arial" w:hAnsi="Arial" w:cs="Arial"/>
          <w:sz w:val="20"/>
          <w:szCs w:val="20"/>
        </w:rPr>
        <w:t xml:space="preserve">solution, including the promotion of </w:t>
      </w:r>
      <w:r w:rsidR="00A62050">
        <w:rPr>
          <w:rFonts w:ascii="Arial" w:hAnsi="Arial" w:cs="Arial"/>
          <w:sz w:val="20"/>
          <w:szCs w:val="20"/>
        </w:rPr>
        <w:t>S</w:t>
      </w:r>
      <w:r w:rsidR="00A62050" w:rsidRPr="00C44314">
        <w:rPr>
          <w:rFonts w:ascii="Arial" w:hAnsi="Arial" w:cs="Arial"/>
          <w:sz w:val="20"/>
          <w:szCs w:val="20"/>
        </w:rPr>
        <w:t>tate</w:t>
      </w:r>
      <w:r w:rsidR="00C737D6" w:rsidRPr="00C44314">
        <w:rPr>
          <w:rFonts w:ascii="Arial" w:hAnsi="Arial" w:cs="Arial"/>
          <w:sz w:val="20"/>
          <w:szCs w:val="20"/>
        </w:rPr>
        <w:t>-building and the rule of law, legislative reform, oversight of government actions, citizens’ engagement, and effective participation in international peacebuilding processes</w:t>
      </w:r>
      <w:r w:rsidR="001C2840">
        <w:rPr>
          <w:rFonts w:ascii="Arial" w:hAnsi="Arial" w:cs="Arial"/>
          <w:sz w:val="20"/>
          <w:szCs w:val="20"/>
        </w:rPr>
        <w:t>;</w:t>
      </w:r>
    </w:p>
    <w:p w14:paraId="040E5930" w14:textId="77777777" w:rsidR="00AF4DB7" w:rsidRPr="004F6AAB" w:rsidRDefault="00AF4DB7" w:rsidP="00647B22">
      <w:pPr>
        <w:spacing w:after="0" w:line="240" w:lineRule="auto"/>
        <w:ind w:left="1134" w:hanging="567"/>
        <w:rPr>
          <w:rFonts w:ascii="Arial" w:hAnsi="Arial" w:cs="Arial"/>
          <w:sz w:val="16"/>
          <w:szCs w:val="16"/>
        </w:rPr>
      </w:pPr>
    </w:p>
    <w:p w14:paraId="44F9EF1C" w14:textId="0A673170" w:rsidR="0082306B" w:rsidRPr="00C44314" w:rsidRDefault="0082306B" w:rsidP="00647B22">
      <w:pPr>
        <w:spacing w:after="0" w:line="240" w:lineRule="auto"/>
        <w:ind w:left="1134" w:hanging="567"/>
        <w:rPr>
          <w:rFonts w:ascii="Arial" w:hAnsi="Arial" w:cs="Arial"/>
          <w:sz w:val="20"/>
          <w:szCs w:val="20"/>
        </w:rPr>
      </w:pPr>
      <w:r w:rsidRPr="00C44314">
        <w:rPr>
          <w:rFonts w:ascii="Arial" w:hAnsi="Arial" w:cs="Arial"/>
          <w:sz w:val="20"/>
          <w:szCs w:val="20"/>
        </w:rPr>
        <w:t>1</w:t>
      </w:r>
      <w:r w:rsidR="00C44314" w:rsidRPr="00C44314">
        <w:rPr>
          <w:rFonts w:ascii="Arial" w:hAnsi="Arial" w:cs="Arial"/>
          <w:sz w:val="20"/>
          <w:szCs w:val="20"/>
        </w:rPr>
        <w:t>2.</w:t>
      </w:r>
      <w:r w:rsidR="00C44314" w:rsidRPr="00C44314">
        <w:rPr>
          <w:rFonts w:ascii="Arial" w:hAnsi="Arial" w:cs="Arial"/>
          <w:sz w:val="20"/>
          <w:szCs w:val="20"/>
        </w:rPr>
        <w:tab/>
      </w:r>
      <w:r w:rsidRPr="004B4CF8">
        <w:rPr>
          <w:rFonts w:ascii="Arial" w:hAnsi="Arial" w:cs="Arial"/>
          <w:i/>
          <w:iCs/>
          <w:sz w:val="20"/>
          <w:szCs w:val="20"/>
        </w:rPr>
        <w:t>Invites</w:t>
      </w:r>
      <w:r w:rsidRPr="00C44314">
        <w:rPr>
          <w:rFonts w:ascii="Arial" w:hAnsi="Arial" w:cs="Arial"/>
          <w:sz w:val="20"/>
          <w:szCs w:val="20"/>
        </w:rPr>
        <w:t xml:space="preserve"> regional parliamentary bodies to leverage their unique position to share good practices encouraging cross-border cooperation and joint actions on economic development and shared challenges such as water management and environmental protection to support parliamentary diplomacy and foster peace in the Middle </w:t>
      </w:r>
      <w:r w:rsidR="00D14A7B">
        <w:rPr>
          <w:rFonts w:ascii="Arial" w:hAnsi="Arial" w:cs="Arial"/>
          <w:sz w:val="20"/>
          <w:szCs w:val="20"/>
        </w:rPr>
        <w:t>E</w:t>
      </w:r>
      <w:r w:rsidR="00D14A7B" w:rsidRPr="00C44314">
        <w:rPr>
          <w:rFonts w:ascii="Arial" w:hAnsi="Arial" w:cs="Arial"/>
          <w:sz w:val="20"/>
          <w:szCs w:val="20"/>
        </w:rPr>
        <w:t xml:space="preserve">ast </w:t>
      </w:r>
      <w:r w:rsidRPr="00C44314">
        <w:rPr>
          <w:rFonts w:ascii="Arial" w:hAnsi="Arial" w:cs="Arial"/>
          <w:sz w:val="20"/>
          <w:szCs w:val="20"/>
        </w:rPr>
        <w:t>region</w:t>
      </w:r>
      <w:r w:rsidR="001C2840">
        <w:rPr>
          <w:rFonts w:ascii="Arial" w:hAnsi="Arial" w:cs="Arial"/>
          <w:sz w:val="20"/>
          <w:szCs w:val="20"/>
        </w:rPr>
        <w:t>;</w:t>
      </w:r>
    </w:p>
    <w:p w14:paraId="6D408CD5" w14:textId="77777777" w:rsidR="0082306B" w:rsidRPr="004F6AAB" w:rsidRDefault="0082306B" w:rsidP="00647B22">
      <w:pPr>
        <w:spacing w:after="0" w:line="240" w:lineRule="auto"/>
        <w:ind w:left="1134" w:hanging="567"/>
        <w:rPr>
          <w:rFonts w:ascii="Arial" w:hAnsi="Arial" w:cs="Arial"/>
          <w:sz w:val="16"/>
          <w:szCs w:val="16"/>
        </w:rPr>
      </w:pPr>
    </w:p>
    <w:p w14:paraId="7BBB9CF0" w14:textId="2B0126D7" w:rsidR="00C737D6" w:rsidRPr="00AB60A8" w:rsidRDefault="00353475" w:rsidP="00647B22">
      <w:pPr>
        <w:spacing w:after="0" w:line="240" w:lineRule="auto"/>
        <w:ind w:left="1134" w:hanging="567"/>
        <w:rPr>
          <w:rFonts w:ascii="Arial" w:hAnsi="Arial" w:cs="Arial"/>
          <w:sz w:val="20"/>
          <w:szCs w:val="20"/>
        </w:rPr>
      </w:pPr>
      <w:r>
        <w:rPr>
          <w:rFonts w:ascii="Arial" w:hAnsi="Arial" w:cs="Arial"/>
          <w:sz w:val="20"/>
          <w:szCs w:val="20"/>
        </w:rPr>
        <w:t>1</w:t>
      </w:r>
      <w:r w:rsidR="00C44314">
        <w:rPr>
          <w:rFonts w:ascii="Arial" w:hAnsi="Arial" w:cs="Arial"/>
          <w:sz w:val="20"/>
          <w:szCs w:val="20"/>
        </w:rPr>
        <w:t>3</w:t>
      </w:r>
      <w:r>
        <w:rPr>
          <w:rFonts w:ascii="Arial" w:hAnsi="Arial" w:cs="Arial"/>
          <w:sz w:val="20"/>
          <w:szCs w:val="20"/>
        </w:rPr>
        <w:t>.</w:t>
      </w:r>
      <w:r>
        <w:rPr>
          <w:rFonts w:ascii="Arial" w:hAnsi="Arial" w:cs="Arial"/>
          <w:sz w:val="20"/>
          <w:szCs w:val="20"/>
        </w:rPr>
        <w:tab/>
      </w:r>
      <w:r w:rsidR="00C737D6" w:rsidRPr="00AB60A8">
        <w:rPr>
          <w:rFonts w:ascii="Arial" w:hAnsi="Arial" w:cs="Arial"/>
          <w:i/>
          <w:iCs/>
          <w:sz w:val="20"/>
          <w:szCs w:val="20"/>
        </w:rPr>
        <w:t>Encourages</w:t>
      </w:r>
      <w:r w:rsidR="00C737D6" w:rsidRPr="00AB60A8">
        <w:rPr>
          <w:rFonts w:ascii="Arial" w:hAnsi="Arial" w:cs="Arial"/>
          <w:sz w:val="20"/>
          <w:szCs w:val="20"/>
        </w:rPr>
        <w:t xml:space="preserve"> the Parliaments of Israel and Palestine to adopt and implement gender-responsive legislation and policies that protect the rights and dignity of women and girls, prevent gender-based violence, and promote the role of women as peacebuilders</w:t>
      </w:r>
      <w:r w:rsidR="001C2840">
        <w:rPr>
          <w:rFonts w:ascii="Arial" w:hAnsi="Arial" w:cs="Arial"/>
          <w:sz w:val="20"/>
          <w:szCs w:val="20"/>
        </w:rPr>
        <w:t>;</w:t>
      </w:r>
    </w:p>
    <w:p w14:paraId="0D149A96" w14:textId="77777777" w:rsidR="000034B0" w:rsidRPr="004F6AAB" w:rsidRDefault="000034B0" w:rsidP="00647B22">
      <w:pPr>
        <w:spacing w:after="0" w:line="240" w:lineRule="auto"/>
        <w:ind w:left="1134" w:hanging="567"/>
        <w:rPr>
          <w:rFonts w:ascii="Arial" w:hAnsi="Arial" w:cs="Arial"/>
          <w:sz w:val="16"/>
          <w:szCs w:val="16"/>
        </w:rPr>
      </w:pPr>
    </w:p>
    <w:p w14:paraId="67809154" w14:textId="24334D6C" w:rsidR="00C737D6" w:rsidRPr="00AB60A8" w:rsidRDefault="00353475" w:rsidP="00647B22">
      <w:pPr>
        <w:spacing w:after="0" w:line="240" w:lineRule="auto"/>
        <w:ind w:left="1134" w:hanging="567"/>
        <w:rPr>
          <w:rFonts w:ascii="Arial" w:hAnsi="Arial" w:cs="Arial"/>
          <w:sz w:val="20"/>
          <w:szCs w:val="20"/>
        </w:rPr>
      </w:pPr>
      <w:r>
        <w:rPr>
          <w:rFonts w:ascii="Arial" w:hAnsi="Arial" w:cs="Arial"/>
          <w:sz w:val="20"/>
          <w:szCs w:val="20"/>
        </w:rPr>
        <w:t>1</w:t>
      </w:r>
      <w:r w:rsidR="00C44314">
        <w:rPr>
          <w:rFonts w:ascii="Arial" w:hAnsi="Arial" w:cs="Arial"/>
          <w:sz w:val="20"/>
          <w:szCs w:val="20"/>
        </w:rPr>
        <w:t>4</w:t>
      </w:r>
      <w:r>
        <w:rPr>
          <w:rFonts w:ascii="Arial" w:hAnsi="Arial" w:cs="Arial"/>
          <w:sz w:val="20"/>
          <w:szCs w:val="20"/>
        </w:rPr>
        <w:t>.</w:t>
      </w:r>
      <w:r>
        <w:rPr>
          <w:rFonts w:ascii="Arial" w:hAnsi="Arial" w:cs="Arial"/>
          <w:sz w:val="20"/>
          <w:szCs w:val="20"/>
        </w:rPr>
        <w:tab/>
      </w:r>
      <w:r w:rsidR="00C737D6" w:rsidRPr="00AB60A8">
        <w:rPr>
          <w:rFonts w:ascii="Arial" w:hAnsi="Arial" w:cs="Arial"/>
          <w:i/>
          <w:iCs/>
          <w:sz w:val="20"/>
          <w:szCs w:val="20"/>
        </w:rPr>
        <w:t xml:space="preserve">Urges </w:t>
      </w:r>
      <w:r w:rsidR="00D14A7B">
        <w:rPr>
          <w:rFonts w:ascii="Arial" w:hAnsi="Arial" w:cs="Arial"/>
          <w:sz w:val="20"/>
          <w:szCs w:val="20"/>
        </w:rPr>
        <w:t>p</w:t>
      </w:r>
      <w:r w:rsidR="00D14A7B" w:rsidRPr="00AB60A8">
        <w:rPr>
          <w:rFonts w:ascii="Arial" w:hAnsi="Arial" w:cs="Arial"/>
          <w:sz w:val="20"/>
          <w:szCs w:val="20"/>
        </w:rPr>
        <w:t xml:space="preserve">arliaments </w:t>
      </w:r>
      <w:r w:rsidR="00C737D6" w:rsidRPr="00AB60A8">
        <w:rPr>
          <w:rFonts w:ascii="Arial" w:hAnsi="Arial" w:cs="Arial"/>
          <w:sz w:val="20"/>
          <w:szCs w:val="20"/>
        </w:rPr>
        <w:t xml:space="preserve">to promote, in the Middle East </w:t>
      </w:r>
      <w:r w:rsidR="00D14A7B">
        <w:rPr>
          <w:rFonts w:ascii="Arial" w:hAnsi="Arial" w:cs="Arial"/>
          <w:sz w:val="20"/>
          <w:szCs w:val="20"/>
        </w:rPr>
        <w:t>r</w:t>
      </w:r>
      <w:r w:rsidR="00D14A7B" w:rsidRPr="00AB60A8">
        <w:rPr>
          <w:rFonts w:ascii="Arial" w:hAnsi="Arial" w:cs="Arial"/>
          <w:sz w:val="20"/>
          <w:szCs w:val="20"/>
        </w:rPr>
        <w:t>egion</w:t>
      </w:r>
      <w:r w:rsidR="00C737D6" w:rsidRPr="00AB60A8">
        <w:rPr>
          <w:rFonts w:ascii="Arial" w:hAnsi="Arial" w:cs="Arial"/>
          <w:sz w:val="20"/>
          <w:szCs w:val="20"/>
        </w:rPr>
        <w:t xml:space="preserve">, the creation of initiatives that support peace education, youth empowerment, non-violence programmes aimed at fostering a culture of peace and coexistence, mutual understanding including through interfaith and intercultural dialogue, and prevention of violent extremism, while prioritizing the principles of </w:t>
      </w:r>
      <w:r w:rsidR="00D14A7B">
        <w:rPr>
          <w:rFonts w:ascii="Arial" w:hAnsi="Arial" w:cs="Arial"/>
          <w:sz w:val="20"/>
          <w:szCs w:val="20"/>
        </w:rPr>
        <w:t xml:space="preserve">the </w:t>
      </w:r>
      <w:r w:rsidR="00C737D6" w:rsidRPr="00AB60A8">
        <w:rPr>
          <w:rFonts w:ascii="Arial" w:hAnsi="Arial" w:cs="Arial"/>
          <w:sz w:val="20"/>
          <w:szCs w:val="20"/>
        </w:rPr>
        <w:t>Women, Peace and Security</w:t>
      </w:r>
      <w:r w:rsidR="009E2220">
        <w:rPr>
          <w:rFonts w:ascii="Arial" w:hAnsi="Arial" w:cs="Arial"/>
          <w:sz w:val="20"/>
          <w:szCs w:val="20"/>
        </w:rPr>
        <w:t>,</w:t>
      </w:r>
      <w:r w:rsidR="00C737D6" w:rsidRPr="00AB60A8">
        <w:rPr>
          <w:rFonts w:ascii="Arial" w:hAnsi="Arial" w:cs="Arial"/>
          <w:sz w:val="20"/>
          <w:szCs w:val="20"/>
        </w:rPr>
        <w:t xml:space="preserve"> and Youth, Peace and Security</w:t>
      </w:r>
      <w:r w:rsidR="00D14A7B">
        <w:rPr>
          <w:rFonts w:ascii="Arial" w:hAnsi="Arial" w:cs="Arial"/>
          <w:sz w:val="20"/>
          <w:szCs w:val="20"/>
        </w:rPr>
        <w:t xml:space="preserve"> agendas</w:t>
      </w:r>
      <w:r w:rsidR="001C2840">
        <w:rPr>
          <w:rFonts w:ascii="Arial" w:hAnsi="Arial" w:cs="Arial"/>
          <w:sz w:val="20"/>
          <w:szCs w:val="20"/>
        </w:rPr>
        <w:t>;</w:t>
      </w:r>
    </w:p>
    <w:p w14:paraId="101EC36D" w14:textId="77777777" w:rsidR="000034B0" w:rsidRPr="004F6AAB" w:rsidRDefault="000034B0" w:rsidP="00647B22">
      <w:pPr>
        <w:spacing w:after="0" w:line="240" w:lineRule="auto"/>
        <w:ind w:left="1134" w:hanging="567"/>
        <w:rPr>
          <w:rFonts w:ascii="Arial" w:hAnsi="Arial" w:cs="Arial"/>
          <w:sz w:val="16"/>
          <w:szCs w:val="16"/>
        </w:rPr>
      </w:pPr>
    </w:p>
    <w:p w14:paraId="4A544451" w14:textId="30AFC036" w:rsidR="00C737D6" w:rsidRPr="00AB60A8" w:rsidRDefault="00353475" w:rsidP="00647B22">
      <w:pPr>
        <w:spacing w:after="0" w:line="240" w:lineRule="auto"/>
        <w:ind w:left="1134" w:hanging="567"/>
        <w:rPr>
          <w:rFonts w:ascii="Arial" w:hAnsi="Arial" w:cs="Arial"/>
          <w:sz w:val="20"/>
          <w:szCs w:val="20"/>
        </w:rPr>
      </w:pPr>
      <w:r>
        <w:rPr>
          <w:rFonts w:ascii="Arial" w:hAnsi="Arial" w:cs="Arial"/>
          <w:sz w:val="20"/>
          <w:szCs w:val="20"/>
        </w:rPr>
        <w:t>1</w:t>
      </w:r>
      <w:r w:rsidR="00C44314">
        <w:rPr>
          <w:rFonts w:ascii="Arial" w:hAnsi="Arial" w:cs="Arial"/>
          <w:sz w:val="20"/>
          <w:szCs w:val="20"/>
        </w:rPr>
        <w:t>5</w:t>
      </w:r>
      <w:r>
        <w:rPr>
          <w:rFonts w:ascii="Arial" w:hAnsi="Arial" w:cs="Arial"/>
          <w:sz w:val="20"/>
          <w:szCs w:val="20"/>
        </w:rPr>
        <w:t>.</w:t>
      </w:r>
      <w:r>
        <w:rPr>
          <w:rFonts w:ascii="Arial" w:hAnsi="Arial" w:cs="Arial"/>
          <w:sz w:val="20"/>
          <w:szCs w:val="20"/>
        </w:rPr>
        <w:tab/>
      </w:r>
      <w:r w:rsidR="009D6521">
        <w:rPr>
          <w:rFonts w:ascii="Arial" w:hAnsi="Arial" w:cs="Arial"/>
          <w:i/>
          <w:iCs/>
          <w:sz w:val="20"/>
          <w:szCs w:val="20"/>
        </w:rPr>
        <w:t>Also u</w:t>
      </w:r>
      <w:r w:rsidR="009D6521" w:rsidRPr="00AB60A8">
        <w:rPr>
          <w:rFonts w:ascii="Arial" w:hAnsi="Arial" w:cs="Arial"/>
          <w:i/>
          <w:iCs/>
          <w:sz w:val="20"/>
          <w:szCs w:val="20"/>
        </w:rPr>
        <w:t>rges</w:t>
      </w:r>
      <w:r w:rsidR="009D6521" w:rsidRPr="00AB60A8">
        <w:rPr>
          <w:rFonts w:ascii="Arial" w:hAnsi="Arial" w:cs="Arial"/>
          <w:sz w:val="20"/>
          <w:szCs w:val="20"/>
        </w:rPr>
        <w:t xml:space="preserve"> </w:t>
      </w:r>
      <w:r w:rsidR="00D14A7B">
        <w:rPr>
          <w:rFonts w:ascii="Arial" w:hAnsi="Arial" w:cs="Arial"/>
          <w:sz w:val="20"/>
          <w:szCs w:val="20"/>
        </w:rPr>
        <w:t>p</w:t>
      </w:r>
      <w:r w:rsidR="00D14A7B" w:rsidRPr="00AB60A8">
        <w:rPr>
          <w:rFonts w:ascii="Arial" w:hAnsi="Arial" w:cs="Arial"/>
          <w:sz w:val="20"/>
          <w:szCs w:val="20"/>
        </w:rPr>
        <w:t xml:space="preserve">arliaments </w:t>
      </w:r>
      <w:r w:rsidR="00C737D6" w:rsidRPr="00AB60A8">
        <w:rPr>
          <w:rFonts w:ascii="Arial" w:hAnsi="Arial" w:cs="Arial"/>
          <w:sz w:val="20"/>
          <w:szCs w:val="20"/>
        </w:rPr>
        <w:t>to promote a common security approach in the pursuit of a two-</w:t>
      </w:r>
      <w:r w:rsidR="00D14A7B">
        <w:rPr>
          <w:rFonts w:ascii="Arial" w:hAnsi="Arial" w:cs="Arial"/>
          <w:sz w:val="20"/>
          <w:szCs w:val="20"/>
        </w:rPr>
        <w:t>S</w:t>
      </w:r>
      <w:r w:rsidR="00D14A7B" w:rsidRPr="00AB60A8">
        <w:rPr>
          <w:rFonts w:ascii="Arial" w:hAnsi="Arial" w:cs="Arial"/>
          <w:sz w:val="20"/>
          <w:szCs w:val="20"/>
        </w:rPr>
        <w:t xml:space="preserve">tate </w:t>
      </w:r>
      <w:r w:rsidR="00C737D6" w:rsidRPr="00AB60A8">
        <w:rPr>
          <w:rFonts w:ascii="Arial" w:hAnsi="Arial" w:cs="Arial"/>
          <w:sz w:val="20"/>
          <w:szCs w:val="20"/>
        </w:rPr>
        <w:t xml:space="preserve">solution, recognizing that the security of both </w:t>
      </w:r>
      <w:r w:rsidR="00D14A7B">
        <w:rPr>
          <w:rFonts w:ascii="Arial" w:hAnsi="Arial" w:cs="Arial"/>
          <w:sz w:val="20"/>
          <w:szCs w:val="20"/>
        </w:rPr>
        <w:t xml:space="preserve">the </w:t>
      </w:r>
      <w:r w:rsidR="00C737D6" w:rsidRPr="00AB60A8">
        <w:rPr>
          <w:rFonts w:ascii="Arial" w:hAnsi="Arial" w:cs="Arial"/>
          <w:sz w:val="20"/>
          <w:szCs w:val="20"/>
        </w:rPr>
        <w:t>Israeli and Palestinian peoples is interdependent</w:t>
      </w:r>
      <w:r w:rsidR="00485993">
        <w:rPr>
          <w:rFonts w:ascii="Arial" w:hAnsi="Arial" w:cs="Arial"/>
          <w:sz w:val="20"/>
          <w:szCs w:val="20"/>
        </w:rPr>
        <w:t>,</w:t>
      </w:r>
      <w:r w:rsidR="00C737D6" w:rsidRPr="00AB60A8">
        <w:rPr>
          <w:rFonts w:ascii="Arial" w:hAnsi="Arial" w:cs="Arial"/>
          <w:sz w:val="20"/>
          <w:szCs w:val="20"/>
        </w:rPr>
        <w:t xml:space="preserve"> and to take measures that build mutual trust, ensure the protection of civilians, and prevent actions that exacerbate tensions</w:t>
      </w:r>
      <w:r w:rsidR="001C2840">
        <w:rPr>
          <w:rFonts w:ascii="Arial" w:hAnsi="Arial" w:cs="Arial"/>
          <w:sz w:val="20"/>
          <w:szCs w:val="20"/>
        </w:rPr>
        <w:t>;</w:t>
      </w:r>
    </w:p>
    <w:p w14:paraId="1E3B5426" w14:textId="77777777" w:rsidR="000034B0" w:rsidRPr="004F6AAB" w:rsidRDefault="000034B0" w:rsidP="00647B22">
      <w:pPr>
        <w:spacing w:after="0" w:line="240" w:lineRule="auto"/>
        <w:ind w:left="1134" w:hanging="567"/>
        <w:rPr>
          <w:rFonts w:ascii="Arial" w:hAnsi="Arial" w:cs="Arial"/>
          <w:sz w:val="16"/>
          <w:szCs w:val="16"/>
        </w:rPr>
      </w:pPr>
    </w:p>
    <w:p w14:paraId="1DCDBA7C" w14:textId="4242A553" w:rsidR="00C737D6" w:rsidRPr="00353475" w:rsidRDefault="00C44314" w:rsidP="00647B22">
      <w:pPr>
        <w:spacing w:after="0" w:line="240" w:lineRule="auto"/>
        <w:ind w:left="1134" w:hanging="567"/>
        <w:rPr>
          <w:rFonts w:ascii="Arial" w:hAnsi="Arial" w:cs="Arial"/>
          <w:i/>
          <w:iCs/>
          <w:sz w:val="20"/>
          <w:szCs w:val="20"/>
        </w:rPr>
      </w:pPr>
      <w:r>
        <w:rPr>
          <w:rFonts w:ascii="Arial" w:hAnsi="Arial" w:cs="Arial"/>
          <w:sz w:val="20"/>
          <w:szCs w:val="20"/>
        </w:rPr>
        <w:t>16</w:t>
      </w:r>
      <w:r w:rsidR="00353475">
        <w:rPr>
          <w:rFonts w:ascii="Arial" w:hAnsi="Arial" w:cs="Arial"/>
          <w:sz w:val="20"/>
          <w:szCs w:val="20"/>
        </w:rPr>
        <w:t>.</w:t>
      </w:r>
      <w:r w:rsidR="00353475">
        <w:rPr>
          <w:rFonts w:ascii="Arial" w:hAnsi="Arial" w:cs="Arial"/>
          <w:sz w:val="20"/>
          <w:szCs w:val="20"/>
        </w:rPr>
        <w:tab/>
      </w:r>
      <w:r w:rsidR="00C737D6" w:rsidRPr="00AB60A8">
        <w:rPr>
          <w:rFonts w:ascii="Arial" w:hAnsi="Arial" w:cs="Arial"/>
          <w:i/>
          <w:iCs/>
          <w:sz w:val="20"/>
          <w:szCs w:val="20"/>
        </w:rPr>
        <w:t>Calls on</w:t>
      </w:r>
      <w:r w:rsidR="00C737D6" w:rsidRPr="00AB60A8">
        <w:rPr>
          <w:rFonts w:ascii="Arial" w:hAnsi="Arial" w:cs="Arial"/>
          <w:sz w:val="20"/>
          <w:szCs w:val="20"/>
        </w:rPr>
        <w:t xml:space="preserve"> the Parliaments of Israel and Palestine to adopt a human security approach in their </w:t>
      </w:r>
      <w:r w:rsidR="009D6521">
        <w:rPr>
          <w:rFonts w:ascii="Arial" w:hAnsi="Arial" w:cs="Arial"/>
          <w:sz w:val="20"/>
          <w:szCs w:val="20"/>
        </w:rPr>
        <w:t>day-to-day</w:t>
      </w:r>
      <w:r w:rsidR="009D6521" w:rsidRPr="00AB60A8">
        <w:rPr>
          <w:rFonts w:ascii="Arial" w:hAnsi="Arial" w:cs="Arial"/>
          <w:sz w:val="20"/>
          <w:szCs w:val="20"/>
        </w:rPr>
        <w:t xml:space="preserve"> </w:t>
      </w:r>
      <w:r w:rsidR="00C737D6" w:rsidRPr="00AB60A8">
        <w:rPr>
          <w:rFonts w:ascii="Arial" w:hAnsi="Arial" w:cs="Arial"/>
          <w:sz w:val="20"/>
          <w:szCs w:val="20"/>
        </w:rPr>
        <w:t xml:space="preserve">work, prioritizing the protection and well-being of individuals and communities on both sides and addressing the root causes of insecurity, including poverty, </w:t>
      </w:r>
      <w:r w:rsidR="00D14A7B">
        <w:rPr>
          <w:rFonts w:ascii="Arial" w:hAnsi="Arial" w:cs="Arial"/>
          <w:sz w:val="20"/>
          <w:szCs w:val="20"/>
        </w:rPr>
        <w:t xml:space="preserve">population </w:t>
      </w:r>
      <w:r w:rsidR="00C737D6" w:rsidRPr="00AB60A8">
        <w:rPr>
          <w:rFonts w:ascii="Arial" w:hAnsi="Arial" w:cs="Arial"/>
          <w:sz w:val="20"/>
          <w:szCs w:val="20"/>
        </w:rPr>
        <w:t>displacement and inequality, in support of peace, stability, dignity and the realization of a sustainable two-</w:t>
      </w:r>
      <w:r w:rsidR="00D14A7B">
        <w:rPr>
          <w:rFonts w:ascii="Arial" w:hAnsi="Arial" w:cs="Arial"/>
          <w:sz w:val="20"/>
          <w:szCs w:val="20"/>
        </w:rPr>
        <w:t>S</w:t>
      </w:r>
      <w:r w:rsidR="00D14A7B" w:rsidRPr="00AB60A8">
        <w:rPr>
          <w:rFonts w:ascii="Arial" w:hAnsi="Arial" w:cs="Arial"/>
          <w:sz w:val="20"/>
          <w:szCs w:val="20"/>
        </w:rPr>
        <w:t xml:space="preserve">tate </w:t>
      </w:r>
      <w:r w:rsidR="00C737D6" w:rsidRPr="00AB60A8">
        <w:rPr>
          <w:rFonts w:ascii="Arial" w:hAnsi="Arial" w:cs="Arial"/>
          <w:sz w:val="20"/>
          <w:szCs w:val="20"/>
        </w:rPr>
        <w:t>solution</w:t>
      </w:r>
      <w:r w:rsidR="001C2840">
        <w:rPr>
          <w:rFonts w:ascii="Arial" w:hAnsi="Arial" w:cs="Arial"/>
          <w:sz w:val="20"/>
          <w:szCs w:val="20"/>
        </w:rPr>
        <w:t>;</w:t>
      </w:r>
    </w:p>
    <w:p w14:paraId="610144F7" w14:textId="77777777" w:rsidR="000034B0" w:rsidRPr="004F6AAB" w:rsidRDefault="000034B0" w:rsidP="00647B22">
      <w:pPr>
        <w:pStyle w:val="Paragraphedeliste"/>
        <w:spacing w:after="0" w:line="240" w:lineRule="auto"/>
        <w:ind w:left="1134" w:hanging="567"/>
        <w:rPr>
          <w:rFonts w:ascii="Arial" w:hAnsi="Arial" w:cs="Arial"/>
          <w:sz w:val="16"/>
          <w:szCs w:val="16"/>
        </w:rPr>
      </w:pPr>
    </w:p>
    <w:p w14:paraId="3D063F0E" w14:textId="5E934229" w:rsidR="00AD2F8D" w:rsidRPr="00AB60A8" w:rsidRDefault="00C44314" w:rsidP="00647B22">
      <w:pPr>
        <w:pStyle w:val="Paragraphedeliste"/>
        <w:spacing w:after="0" w:line="240" w:lineRule="auto"/>
        <w:ind w:left="1134" w:hanging="567"/>
        <w:rPr>
          <w:rFonts w:ascii="Arial" w:hAnsi="Arial" w:cs="Arial"/>
          <w:sz w:val="20"/>
          <w:szCs w:val="20"/>
        </w:rPr>
      </w:pPr>
      <w:r>
        <w:rPr>
          <w:rFonts w:ascii="Arial" w:hAnsi="Arial" w:cs="Arial"/>
          <w:sz w:val="20"/>
          <w:szCs w:val="20"/>
        </w:rPr>
        <w:t>17</w:t>
      </w:r>
      <w:r w:rsidR="00353475">
        <w:rPr>
          <w:rFonts w:ascii="Arial" w:hAnsi="Arial" w:cs="Arial"/>
          <w:sz w:val="20"/>
          <w:szCs w:val="20"/>
        </w:rPr>
        <w:t>.</w:t>
      </w:r>
      <w:r w:rsidR="00353475">
        <w:rPr>
          <w:rFonts w:ascii="Arial" w:hAnsi="Arial" w:cs="Arial"/>
          <w:sz w:val="20"/>
          <w:szCs w:val="20"/>
        </w:rPr>
        <w:tab/>
      </w:r>
      <w:r w:rsidR="00C737D6" w:rsidRPr="00AB60A8">
        <w:rPr>
          <w:rFonts w:ascii="Arial" w:hAnsi="Arial" w:cs="Arial"/>
          <w:i/>
          <w:iCs/>
          <w:sz w:val="20"/>
          <w:szCs w:val="20"/>
        </w:rPr>
        <w:t xml:space="preserve">Recommends </w:t>
      </w:r>
      <w:r w:rsidR="00D14A7B">
        <w:rPr>
          <w:rFonts w:ascii="Arial" w:hAnsi="Arial" w:cs="Arial"/>
          <w:sz w:val="20"/>
          <w:szCs w:val="20"/>
        </w:rPr>
        <w:t>that</w:t>
      </w:r>
      <w:r w:rsidR="00D14A7B" w:rsidRPr="00AB60A8">
        <w:rPr>
          <w:rFonts w:ascii="Arial" w:hAnsi="Arial" w:cs="Arial"/>
          <w:sz w:val="20"/>
          <w:szCs w:val="20"/>
        </w:rPr>
        <w:t xml:space="preserve"> </w:t>
      </w:r>
      <w:r w:rsidR="00C737D6" w:rsidRPr="00AB60A8">
        <w:rPr>
          <w:rFonts w:ascii="Arial" w:hAnsi="Arial" w:cs="Arial"/>
          <w:sz w:val="20"/>
          <w:szCs w:val="20"/>
        </w:rPr>
        <w:t>the IPU transform its Committee on Middle East Questions into a Strategic Task Force on the Middle East, composed of equal numbers of representatives from all IPU geopolitical groups, with a mandate to support dialogue and facilitate indirect parliamentary diplomacy between the Parliaments of Israel and Palestine</w:t>
      </w:r>
      <w:r w:rsidR="009D6521">
        <w:rPr>
          <w:rFonts w:ascii="Arial" w:hAnsi="Arial" w:cs="Arial"/>
          <w:sz w:val="20"/>
          <w:szCs w:val="20"/>
        </w:rPr>
        <w:t>,</w:t>
      </w:r>
      <w:r w:rsidR="00C737D6" w:rsidRPr="00AB60A8">
        <w:rPr>
          <w:rFonts w:ascii="Arial" w:hAnsi="Arial" w:cs="Arial"/>
          <w:sz w:val="20"/>
          <w:szCs w:val="20"/>
        </w:rPr>
        <w:t xml:space="preserve"> and to monitor and report on commitments related to humanitarian access, the protection of vulnerable groups and peace education</w:t>
      </w:r>
      <w:r w:rsidR="00D14A7B">
        <w:rPr>
          <w:rFonts w:ascii="Arial" w:hAnsi="Arial" w:cs="Arial"/>
          <w:sz w:val="20"/>
          <w:szCs w:val="20"/>
        </w:rPr>
        <w:t>,</w:t>
      </w:r>
      <w:r w:rsidR="00C737D6" w:rsidRPr="00AB60A8">
        <w:rPr>
          <w:rFonts w:ascii="Arial" w:hAnsi="Arial" w:cs="Arial"/>
          <w:sz w:val="20"/>
          <w:szCs w:val="20"/>
        </w:rPr>
        <w:t xml:space="preserve"> as well as steps taken towards the achievement of a two-</w:t>
      </w:r>
      <w:r w:rsidR="00D14A7B">
        <w:rPr>
          <w:rFonts w:ascii="Arial" w:hAnsi="Arial" w:cs="Arial"/>
          <w:sz w:val="20"/>
          <w:szCs w:val="20"/>
        </w:rPr>
        <w:t>S</w:t>
      </w:r>
      <w:r w:rsidR="00D14A7B" w:rsidRPr="00AB60A8">
        <w:rPr>
          <w:rFonts w:ascii="Arial" w:hAnsi="Arial" w:cs="Arial"/>
          <w:sz w:val="20"/>
          <w:szCs w:val="20"/>
        </w:rPr>
        <w:t xml:space="preserve">tate </w:t>
      </w:r>
      <w:r w:rsidR="00C737D6" w:rsidRPr="00AB60A8">
        <w:rPr>
          <w:rFonts w:ascii="Arial" w:hAnsi="Arial" w:cs="Arial"/>
          <w:sz w:val="20"/>
          <w:szCs w:val="20"/>
        </w:rPr>
        <w:t>solution</w:t>
      </w:r>
      <w:r w:rsidR="00D14A7B">
        <w:rPr>
          <w:rFonts w:ascii="Arial" w:hAnsi="Arial" w:cs="Arial"/>
          <w:sz w:val="20"/>
          <w:szCs w:val="20"/>
        </w:rPr>
        <w:t>,</w:t>
      </w:r>
      <w:r w:rsidR="00C737D6" w:rsidRPr="00AB60A8">
        <w:rPr>
          <w:rFonts w:ascii="Arial" w:hAnsi="Arial" w:cs="Arial"/>
          <w:sz w:val="20"/>
          <w:szCs w:val="20"/>
        </w:rPr>
        <w:t xml:space="preserve"> taking into account the global impact of the conflict</w:t>
      </w:r>
      <w:bookmarkEnd w:id="11"/>
      <w:r w:rsidR="001C2840">
        <w:rPr>
          <w:rFonts w:ascii="Arial" w:hAnsi="Arial" w:cs="Arial"/>
          <w:sz w:val="20"/>
          <w:szCs w:val="20"/>
        </w:rPr>
        <w:t>.</w:t>
      </w:r>
    </w:p>
    <w:sectPr w:rsidR="00AD2F8D" w:rsidRPr="00AB60A8" w:rsidSect="00AE7A42">
      <w:headerReference w:type="default" r:id="rId24"/>
      <w:footerReference w:type="default" r:id="rId25"/>
      <w:pgSz w:w="11906" w:h="16838" w:code="9"/>
      <w:pgMar w:top="1418" w:right="1418" w:bottom="1418"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E9BD1" w14:textId="77777777" w:rsidR="008D7D7E" w:rsidRDefault="008D7D7E" w:rsidP="008D7D7E">
      <w:pPr>
        <w:spacing w:after="0" w:line="240" w:lineRule="auto"/>
      </w:pPr>
      <w:r>
        <w:separator/>
      </w:r>
    </w:p>
  </w:endnote>
  <w:endnote w:type="continuationSeparator" w:id="0">
    <w:p w14:paraId="495CCC96" w14:textId="77777777" w:rsidR="008D7D7E" w:rsidRDefault="008D7D7E" w:rsidP="008D7D7E">
      <w:pPr>
        <w:spacing w:after="0" w:line="240" w:lineRule="auto"/>
      </w:pPr>
      <w:r>
        <w:continuationSeparator/>
      </w:r>
    </w:p>
  </w:endnote>
  <w:endnote w:type="continuationNotice" w:id="1">
    <w:p w14:paraId="0463CFA0" w14:textId="77777777" w:rsidR="00962079" w:rsidRDefault="009620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raditional Arabic">
    <w:panose1 w:val="02020603050405020304"/>
    <w:charset w:val="B2"/>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01DB8" w14:textId="77777777" w:rsidR="00BA3B9B" w:rsidRPr="007D0847" w:rsidRDefault="00BA3B9B" w:rsidP="00BA3B9B">
    <w:pPr>
      <w:tabs>
        <w:tab w:val="left" w:pos="-142"/>
        <w:tab w:val="left" w:pos="0"/>
        <w:tab w:val="center" w:pos="4320"/>
        <w:tab w:val="right" w:pos="8640"/>
      </w:tabs>
      <w:spacing w:after="0" w:line="240" w:lineRule="auto"/>
      <w:ind w:left="-1276"/>
      <w:rPr>
        <w:rFonts w:ascii="Arial" w:eastAsia="MS Mincho" w:hAnsi="Arial" w:cs="Arial"/>
        <w:b/>
        <w:color w:val="00AABE"/>
        <w:kern w:val="0"/>
        <w:sz w:val="32"/>
        <w:szCs w:val="32"/>
        <w14:ligatures w14:val="none"/>
      </w:rPr>
    </w:pPr>
    <w:bookmarkStart w:id="2" w:name="_Hlk119491489"/>
    <w:bookmarkStart w:id="3" w:name="_Hlk119491490"/>
    <w:bookmarkStart w:id="4" w:name="_Hlk119491497"/>
    <w:bookmarkStart w:id="5" w:name="_Hlk119491498"/>
    <w:bookmarkStart w:id="6" w:name="_Hlk119491499"/>
    <w:bookmarkStart w:id="7" w:name="_Hlk119491500"/>
    <w:bookmarkStart w:id="8" w:name="_Hlk119491501"/>
    <w:bookmarkStart w:id="9" w:name="_Hlk119491502"/>
    <w:r w:rsidRPr="007D0847">
      <w:rPr>
        <w:rFonts w:ascii="Arial" w:eastAsia="MS Mincho" w:hAnsi="Arial" w:cs="Arial"/>
        <w:b/>
        <w:noProof/>
        <w:color w:val="00AABE"/>
        <w:kern w:val="0"/>
        <w:sz w:val="32"/>
        <w:szCs w:val="32"/>
        <w14:ligatures w14:val="none"/>
      </w:rPr>
      <w:drawing>
        <wp:anchor distT="0" distB="0" distL="114300" distR="114300" simplePos="0" relativeHeight="251658241" behindDoc="1" locked="0" layoutInCell="1" allowOverlap="1" wp14:anchorId="1D60F190" wp14:editId="2B1FF35C">
          <wp:simplePos x="0" y="0"/>
          <wp:positionH relativeFrom="column">
            <wp:posOffset>-1266825</wp:posOffset>
          </wp:positionH>
          <wp:positionV relativeFrom="paragraph">
            <wp:posOffset>-648970</wp:posOffset>
          </wp:positionV>
          <wp:extent cx="5940000" cy="828000"/>
          <wp:effectExtent l="0" t="0" r="0" b="0"/>
          <wp:wrapNone/>
          <wp:docPr id="1081813483" name="Picture 1631957945" descr="Une image contenant blanc, text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84505" name="Picture 35784505" descr="Une image contenant blanc, texte, conception&#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5940000" cy="828000"/>
                  </a:xfrm>
                  <a:prstGeom prst="rect">
                    <a:avLst/>
                  </a:prstGeom>
                </pic:spPr>
              </pic:pic>
            </a:graphicData>
          </a:graphic>
          <wp14:sizeRelH relativeFrom="margin">
            <wp14:pctWidth>0</wp14:pctWidth>
          </wp14:sizeRelH>
          <wp14:sizeRelV relativeFrom="margin">
            <wp14:pctHeight>0</wp14:pctHeight>
          </wp14:sizeRelV>
        </wp:anchor>
      </w:drawing>
    </w:r>
    <w:r w:rsidRPr="007D0847">
      <w:rPr>
        <w:rFonts w:ascii="Arial" w:eastAsia="MS Mincho" w:hAnsi="Arial" w:cs="Arial"/>
        <w:b/>
        <w:color w:val="00AABE"/>
        <w:kern w:val="0"/>
        <w:sz w:val="32"/>
        <w:szCs w:val="32"/>
        <w14:ligatures w14:val="none"/>
      </w:rPr>
      <w:t>#IPU1</w:t>
    </w:r>
    <w:bookmarkEnd w:id="2"/>
    <w:bookmarkEnd w:id="3"/>
    <w:bookmarkEnd w:id="4"/>
    <w:bookmarkEnd w:id="5"/>
    <w:bookmarkEnd w:id="6"/>
    <w:bookmarkEnd w:id="7"/>
    <w:bookmarkEnd w:id="8"/>
    <w:bookmarkEnd w:id="9"/>
    <w:r w:rsidRPr="007D0847">
      <w:rPr>
        <w:rFonts w:ascii="Arial" w:eastAsia="MS Mincho" w:hAnsi="Arial" w:cs="Arial"/>
        <w:b/>
        <w:color w:val="00AABE"/>
        <w:kern w:val="0"/>
        <w:sz w:val="32"/>
        <w:szCs w:val="32"/>
        <w14:ligatures w14:val="none"/>
      </w:rPr>
      <w:t>50</w:t>
    </w:r>
  </w:p>
  <w:p w14:paraId="08181A19" w14:textId="23E305BE" w:rsidR="00BA3B9B" w:rsidRDefault="00BA3B9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4EE6B" w14:textId="77777777" w:rsidR="00BA3B9B" w:rsidRDefault="00BA3B9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7BC55" w14:textId="77777777" w:rsidR="008D7D7E" w:rsidRDefault="008D7D7E" w:rsidP="008D7D7E">
      <w:pPr>
        <w:spacing w:after="0" w:line="240" w:lineRule="auto"/>
      </w:pPr>
      <w:r>
        <w:separator/>
      </w:r>
    </w:p>
  </w:footnote>
  <w:footnote w:type="continuationSeparator" w:id="0">
    <w:p w14:paraId="1CBB2478" w14:textId="77777777" w:rsidR="008D7D7E" w:rsidRDefault="008D7D7E" w:rsidP="008D7D7E">
      <w:pPr>
        <w:spacing w:after="0" w:line="240" w:lineRule="auto"/>
      </w:pPr>
      <w:r>
        <w:continuationSeparator/>
      </w:r>
    </w:p>
  </w:footnote>
  <w:footnote w:type="continuationNotice" w:id="1">
    <w:p w14:paraId="1A671C0C" w14:textId="77777777" w:rsidR="00962079" w:rsidRDefault="009620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1"/>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1"/>
      <w:gridCol w:w="4688"/>
    </w:tblGrid>
    <w:tr w:rsidR="00C31B1D" w:rsidRPr="00C31B1D" w14:paraId="03657BE6" w14:textId="77777777" w:rsidTr="00C31B1D">
      <w:trPr>
        <w:trHeight w:val="1833"/>
      </w:trPr>
      <w:tc>
        <w:tcPr>
          <w:tcW w:w="5171" w:type="dxa"/>
          <w:hideMark/>
        </w:tcPr>
        <w:p w14:paraId="1B851E55" w14:textId="77777777" w:rsidR="00C31B1D" w:rsidRPr="00C31B1D" w:rsidRDefault="00C31B1D" w:rsidP="00C31B1D">
          <w:pPr>
            <w:tabs>
              <w:tab w:val="left" w:pos="-142"/>
              <w:tab w:val="left" w:pos="0"/>
            </w:tabs>
            <w:rPr>
              <w:rFonts w:ascii="Arial" w:hAnsi="Arial" w:cs="Arial"/>
              <w:sz w:val="20"/>
              <w:szCs w:val="20"/>
              <w:lang w:val="en-US"/>
            </w:rPr>
          </w:pPr>
          <w:r w:rsidRPr="00C31B1D">
            <w:rPr>
              <w:rFonts w:ascii="Arial" w:hAnsi="Arial" w:cs="Arial"/>
              <w:noProof/>
              <w:sz w:val="20"/>
              <w:szCs w:val="20"/>
              <w:lang w:val="fr-FR"/>
            </w:rPr>
            <w:drawing>
              <wp:anchor distT="0" distB="0" distL="114300" distR="114300" simplePos="0" relativeHeight="251660289" behindDoc="0" locked="0" layoutInCell="1" allowOverlap="1" wp14:anchorId="73048B94" wp14:editId="75D3AE86">
                <wp:simplePos x="0" y="0"/>
                <wp:positionH relativeFrom="column">
                  <wp:posOffset>-5080</wp:posOffset>
                </wp:positionH>
                <wp:positionV relativeFrom="paragraph">
                  <wp:posOffset>53340</wp:posOffset>
                </wp:positionV>
                <wp:extent cx="1467485" cy="1086485"/>
                <wp:effectExtent l="0" t="0" r="0" b="0"/>
                <wp:wrapSquare wrapText="bothSides"/>
                <wp:docPr id="1142485165" name="Image 2" descr="Une image contenant texte, logo, Polic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descr="Une image contenant texte, logo, Police, Graph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7485" cy="1086485"/>
                        </a:xfrm>
                        <a:prstGeom prst="rect">
                          <a:avLst/>
                        </a:prstGeom>
                        <a:noFill/>
                      </pic:spPr>
                    </pic:pic>
                  </a:graphicData>
                </a:graphic>
                <wp14:sizeRelH relativeFrom="page">
                  <wp14:pctWidth>0</wp14:pctWidth>
                </wp14:sizeRelH>
                <wp14:sizeRelV relativeFrom="page">
                  <wp14:pctHeight>0</wp14:pctHeight>
                </wp14:sizeRelV>
              </wp:anchor>
            </w:drawing>
          </w:r>
        </w:p>
      </w:tc>
      <w:tc>
        <w:tcPr>
          <w:tcW w:w="4688" w:type="dxa"/>
          <w:vAlign w:val="center"/>
          <w:hideMark/>
        </w:tcPr>
        <w:p w14:paraId="5CE9761F" w14:textId="77777777" w:rsidR="00C31B1D" w:rsidRPr="00C31B1D" w:rsidRDefault="00C31B1D" w:rsidP="00C31B1D">
          <w:pPr>
            <w:tabs>
              <w:tab w:val="left" w:pos="-142"/>
              <w:tab w:val="left" w:pos="0"/>
            </w:tabs>
            <w:jc w:val="right"/>
            <w:rPr>
              <w:rFonts w:ascii="Arial" w:hAnsi="Arial" w:cs="Arial"/>
              <w:sz w:val="20"/>
              <w:szCs w:val="20"/>
              <w:lang w:val="en-US"/>
            </w:rPr>
          </w:pPr>
          <w:r w:rsidRPr="00C31B1D">
            <w:rPr>
              <w:rFonts w:ascii="Arial" w:hAnsi="Arial" w:cs="Arial"/>
              <w:b/>
              <w:noProof/>
              <w:color w:val="00979B"/>
              <w:sz w:val="20"/>
              <w:szCs w:val="20"/>
            </w:rPr>
            <w:drawing>
              <wp:inline distT="0" distB="0" distL="0" distR="0" wp14:anchorId="0D30BF58" wp14:editId="222955CF">
                <wp:extent cx="2447925" cy="809625"/>
                <wp:effectExtent l="0" t="0" r="9525" b="9525"/>
                <wp:docPr id="1731105159" name="Image 1" descr="Une image contenant texte, logo, Polic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Une image contenant texte, logo, Police, Graphique&#10;&#10;Description générée automatiquement"/>
                        <pic:cNvPicPr>
                          <a:picLocks noChangeAspect="1" noChangeArrowheads="1"/>
                        </pic:cNvPicPr>
                      </pic:nvPicPr>
                      <pic:blipFill>
                        <a:blip r:embed="rId2">
                          <a:extLst>
                            <a:ext uri="{28A0092B-C50C-407E-A947-70E740481C1C}">
                              <a14:useLocalDpi xmlns:a14="http://schemas.microsoft.com/office/drawing/2010/main" val="0"/>
                            </a:ext>
                          </a:extLst>
                        </a:blip>
                        <a:srcRect l="9303" t="33067" r="13370" b="46835"/>
                        <a:stretch>
                          <a:fillRect/>
                        </a:stretch>
                      </pic:blipFill>
                      <pic:spPr bwMode="auto">
                        <a:xfrm>
                          <a:off x="0" y="0"/>
                          <a:ext cx="2447925" cy="809625"/>
                        </a:xfrm>
                        <a:prstGeom prst="rect">
                          <a:avLst/>
                        </a:prstGeom>
                        <a:noFill/>
                        <a:ln>
                          <a:noFill/>
                        </a:ln>
                      </pic:spPr>
                    </pic:pic>
                  </a:graphicData>
                </a:graphic>
              </wp:inline>
            </w:drawing>
          </w:r>
        </w:p>
      </w:tc>
    </w:tr>
  </w:tbl>
  <w:p w14:paraId="674EEAF6" w14:textId="77777777" w:rsidR="00C31B1D" w:rsidRPr="00C31B1D" w:rsidRDefault="00C31B1D" w:rsidP="00C31B1D">
    <w:pPr>
      <w:tabs>
        <w:tab w:val="left" w:pos="-142"/>
        <w:tab w:val="left" w:pos="0"/>
        <w:tab w:val="center" w:pos="4320"/>
      </w:tabs>
      <w:spacing w:after="0" w:line="240" w:lineRule="auto"/>
      <w:jc w:val="center"/>
      <w:rPr>
        <w:rFonts w:ascii="Arial" w:eastAsia="MS Mincho" w:hAnsi="Arial" w:cs="Arial"/>
        <w:color w:val="00AABE"/>
        <w:kern w:val="0"/>
        <w:sz w:val="44"/>
        <w:szCs w:val="44"/>
        <w:lang w:val="en-US"/>
        <w14:ligatures w14:val="none"/>
      </w:rPr>
    </w:pPr>
    <w:r w:rsidRPr="00C31B1D">
      <w:rPr>
        <w:rFonts w:ascii="Arial" w:eastAsia="MS Mincho" w:hAnsi="Arial" w:cs="Arial"/>
        <w:b/>
        <w:bCs/>
        <w:color w:val="00AABE"/>
        <w:kern w:val="0"/>
        <w:sz w:val="44"/>
        <w:szCs w:val="44"/>
        <w:lang w:val="en-US"/>
        <w14:ligatures w14:val="none"/>
      </w:rPr>
      <w:t>150th IPU Assembly</w:t>
    </w:r>
  </w:p>
  <w:p w14:paraId="5998D959" w14:textId="77777777" w:rsidR="00C31B1D" w:rsidRPr="00C31B1D" w:rsidRDefault="00C31B1D" w:rsidP="00C31B1D">
    <w:pPr>
      <w:tabs>
        <w:tab w:val="left" w:pos="-142"/>
        <w:tab w:val="left" w:pos="0"/>
      </w:tabs>
      <w:autoSpaceDE w:val="0"/>
      <w:autoSpaceDN w:val="0"/>
      <w:adjustRightInd w:val="0"/>
      <w:spacing w:after="0" w:line="240" w:lineRule="auto"/>
      <w:ind w:left="172"/>
      <w:jc w:val="center"/>
      <w:rPr>
        <w:rFonts w:ascii="Arial" w:eastAsia="MS Mincho" w:hAnsi="Arial" w:cs="Arial"/>
        <w:b/>
        <w:bCs/>
        <w:color w:val="00AABE"/>
        <w:kern w:val="0"/>
        <w:sz w:val="28"/>
        <w:szCs w:val="28"/>
        <w:lang w:val="en-US"/>
        <w14:ligatures w14:val="none"/>
      </w:rPr>
    </w:pPr>
    <w:r w:rsidRPr="00C31B1D">
      <w:rPr>
        <w:rFonts w:ascii="Arial" w:eastAsia="MS Mincho" w:hAnsi="Arial" w:cs="Arial"/>
        <w:b/>
        <w:bCs/>
        <w:color w:val="00AABE"/>
        <w:kern w:val="0"/>
        <w:sz w:val="32"/>
        <w:szCs w:val="32"/>
        <w14:ligatures w14:val="none"/>
      </w:rPr>
      <w:t>Tashkent, Uzbekistan (5–9 April 2025)</w:t>
    </w:r>
  </w:p>
  <w:p w14:paraId="3AEC8903" w14:textId="77777777" w:rsidR="00B91F91" w:rsidRPr="00C31B1D" w:rsidRDefault="00B91F91" w:rsidP="00C31B1D">
    <w:pPr>
      <w:pStyle w:val="En-tte"/>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33E92" w14:textId="3DB9C711" w:rsidR="007460CF" w:rsidRDefault="007460CF" w:rsidP="007D0847">
    <w:pPr>
      <w:pStyle w:val="En-tte"/>
      <w:jc w:val="right"/>
    </w:pPr>
    <w:r>
      <w:t xml:space="preserve">- </w:t>
    </w:r>
    <w:sdt>
      <w:sdtPr>
        <w:id w:val="-186304517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w:t>
        </w:r>
        <w:r>
          <w:rPr>
            <w:noProof/>
          </w:rPr>
          <w:tab/>
        </w:r>
        <w:r w:rsidRPr="009A2840">
          <w:rPr>
            <w:rFonts w:ascii="Arial" w:eastAsia="Traditional Arabic" w:hAnsi="Arial" w:cs="Arial"/>
            <w:color w:val="000000" w:themeColor="text1"/>
            <w:sz w:val="20"/>
            <w:szCs w:val="20"/>
          </w:rPr>
          <w:t>C-I/</w:t>
        </w:r>
        <w:r>
          <w:rPr>
            <w:rFonts w:ascii="Arial" w:eastAsia="Traditional Arabic" w:hAnsi="Arial" w:cs="Arial"/>
            <w:color w:val="000000" w:themeColor="text1"/>
            <w:sz w:val="20"/>
            <w:szCs w:val="20"/>
          </w:rPr>
          <w:t>150</w:t>
        </w:r>
        <w:r w:rsidRPr="009A2840">
          <w:rPr>
            <w:rFonts w:ascii="Arial" w:eastAsia="Traditional Arabic" w:hAnsi="Arial" w:cs="Arial"/>
            <w:color w:val="000000" w:themeColor="text1"/>
            <w:sz w:val="20"/>
            <w:szCs w:val="20"/>
          </w:rPr>
          <w:t>/DR</w:t>
        </w:r>
      </w:sdtContent>
    </w:sdt>
  </w:p>
  <w:p w14:paraId="29D3C8E3" w14:textId="6903E41E" w:rsidR="00B91F91" w:rsidRDefault="00B91F91" w:rsidP="00BA3B9B">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880896"/>
    <w:multiLevelType w:val="hybridMultilevel"/>
    <w:tmpl w:val="4F40A198"/>
    <w:lvl w:ilvl="0" w:tplc="418872C4">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621A38A8"/>
    <w:multiLevelType w:val="hybridMultilevel"/>
    <w:tmpl w:val="FEC8F5AC"/>
    <w:lvl w:ilvl="0" w:tplc="FCFAC32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05354754">
    <w:abstractNumId w:val="0"/>
  </w:num>
  <w:num w:numId="2" w16cid:durableId="11392234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7D6"/>
    <w:rsid w:val="000034B0"/>
    <w:rsid w:val="00006BD9"/>
    <w:rsid w:val="00042CE2"/>
    <w:rsid w:val="000832E0"/>
    <w:rsid w:val="000B198A"/>
    <w:rsid w:val="000D0B35"/>
    <w:rsid w:val="000E23FA"/>
    <w:rsid w:val="000F72DA"/>
    <w:rsid w:val="001111E9"/>
    <w:rsid w:val="00123CFA"/>
    <w:rsid w:val="00170092"/>
    <w:rsid w:val="00186ADE"/>
    <w:rsid w:val="001B667E"/>
    <w:rsid w:val="001C2840"/>
    <w:rsid w:val="001F0CE1"/>
    <w:rsid w:val="00227F74"/>
    <w:rsid w:val="00230651"/>
    <w:rsid w:val="00264552"/>
    <w:rsid w:val="00266245"/>
    <w:rsid w:val="002752D8"/>
    <w:rsid w:val="00275841"/>
    <w:rsid w:val="00290242"/>
    <w:rsid w:val="002B44C4"/>
    <w:rsid w:val="002B6445"/>
    <w:rsid w:val="002D74BB"/>
    <w:rsid w:val="00322707"/>
    <w:rsid w:val="00332A52"/>
    <w:rsid w:val="00332F62"/>
    <w:rsid w:val="00353475"/>
    <w:rsid w:val="0039054A"/>
    <w:rsid w:val="003B53E7"/>
    <w:rsid w:val="003C2CF2"/>
    <w:rsid w:val="003C44B3"/>
    <w:rsid w:val="003C6D15"/>
    <w:rsid w:val="004819ED"/>
    <w:rsid w:val="00482D8C"/>
    <w:rsid w:val="004836F5"/>
    <w:rsid w:val="00485993"/>
    <w:rsid w:val="00492B21"/>
    <w:rsid w:val="00494F52"/>
    <w:rsid w:val="004B4CF8"/>
    <w:rsid w:val="004F6AAB"/>
    <w:rsid w:val="00517D4E"/>
    <w:rsid w:val="00530788"/>
    <w:rsid w:val="00544F74"/>
    <w:rsid w:val="005A4002"/>
    <w:rsid w:val="005F4B6F"/>
    <w:rsid w:val="005F6043"/>
    <w:rsid w:val="006340AD"/>
    <w:rsid w:val="00647B22"/>
    <w:rsid w:val="00651166"/>
    <w:rsid w:val="006705E6"/>
    <w:rsid w:val="0067740B"/>
    <w:rsid w:val="006F0A59"/>
    <w:rsid w:val="006F42E1"/>
    <w:rsid w:val="00715BFC"/>
    <w:rsid w:val="00745675"/>
    <w:rsid w:val="007460CF"/>
    <w:rsid w:val="0075405D"/>
    <w:rsid w:val="00763769"/>
    <w:rsid w:val="007C3C63"/>
    <w:rsid w:val="007C6AB1"/>
    <w:rsid w:val="007D0847"/>
    <w:rsid w:val="007D284A"/>
    <w:rsid w:val="007D42DC"/>
    <w:rsid w:val="007E7152"/>
    <w:rsid w:val="007E7735"/>
    <w:rsid w:val="0082306B"/>
    <w:rsid w:val="00824FED"/>
    <w:rsid w:val="0083239F"/>
    <w:rsid w:val="00862204"/>
    <w:rsid w:val="00871D8F"/>
    <w:rsid w:val="00886EC0"/>
    <w:rsid w:val="008A7F00"/>
    <w:rsid w:val="008C4673"/>
    <w:rsid w:val="008D1A2F"/>
    <w:rsid w:val="008D7D7E"/>
    <w:rsid w:val="008E2C6E"/>
    <w:rsid w:val="008E7BDE"/>
    <w:rsid w:val="008F1BA8"/>
    <w:rsid w:val="00926B06"/>
    <w:rsid w:val="00950164"/>
    <w:rsid w:val="00962079"/>
    <w:rsid w:val="00990600"/>
    <w:rsid w:val="009911F3"/>
    <w:rsid w:val="009A19B9"/>
    <w:rsid w:val="009A2840"/>
    <w:rsid w:val="009C7436"/>
    <w:rsid w:val="009D1736"/>
    <w:rsid w:val="009D5190"/>
    <w:rsid w:val="009D6521"/>
    <w:rsid w:val="009E2220"/>
    <w:rsid w:val="009E673C"/>
    <w:rsid w:val="00A21DAB"/>
    <w:rsid w:val="00A3449B"/>
    <w:rsid w:val="00A62050"/>
    <w:rsid w:val="00A674B5"/>
    <w:rsid w:val="00A8696E"/>
    <w:rsid w:val="00AB60A8"/>
    <w:rsid w:val="00AD2F8D"/>
    <w:rsid w:val="00AE7A42"/>
    <w:rsid w:val="00AF4DB7"/>
    <w:rsid w:val="00B208D1"/>
    <w:rsid w:val="00B91F91"/>
    <w:rsid w:val="00BA3B9B"/>
    <w:rsid w:val="00C01DB8"/>
    <w:rsid w:val="00C22092"/>
    <w:rsid w:val="00C2490C"/>
    <w:rsid w:val="00C31B1D"/>
    <w:rsid w:val="00C44314"/>
    <w:rsid w:val="00C51A53"/>
    <w:rsid w:val="00C70EB8"/>
    <w:rsid w:val="00C737D6"/>
    <w:rsid w:val="00C96E98"/>
    <w:rsid w:val="00CB0F43"/>
    <w:rsid w:val="00CF6E92"/>
    <w:rsid w:val="00CF7FCA"/>
    <w:rsid w:val="00D14A7B"/>
    <w:rsid w:val="00D17A5C"/>
    <w:rsid w:val="00D247DF"/>
    <w:rsid w:val="00D4230A"/>
    <w:rsid w:val="00D939C2"/>
    <w:rsid w:val="00DE1D78"/>
    <w:rsid w:val="00DE2CBA"/>
    <w:rsid w:val="00DF5D0C"/>
    <w:rsid w:val="00E14D01"/>
    <w:rsid w:val="00E45A99"/>
    <w:rsid w:val="00E51B49"/>
    <w:rsid w:val="00E769CA"/>
    <w:rsid w:val="00EA0416"/>
    <w:rsid w:val="00EE0080"/>
    <w:rsid w:val="00EE69AA"/>
    <w:rsid w:val="00EF7637"/>
    <w:rsid w:val="00F0278A"/>
    <w:rsid w:val="00F113E7"/>
    <w:rsid w:val="00F211B4"/>
    <w:rsid w:val="00F3784D"/>
    <w:rsid w:val="00F94926"/>
    <w:rsid w:val="00F97E88"/>
    <w:rsid w:val="00FC717B"/>
    <w:rsid w:val="00FD15BF"/>
    <w:rsid w:val="00FD168A"/>
    <w:rsid w:val="00FF6BBC"/>
  </w:rsids>
  <m:mathPr>
    <m:mathFont m:val="Cambria Math"/>
    <m:brkBin m:val="before"/>
    <m:brkBinSub m:val="--"/>
    <m:smallFrac m:val="0"/>
    <m:dispDef/>
    <m:lMargin m:val="0"/>
    <m:rMargin m:val="0"/>
    <m:defJc m:val="centerGroup"/>
    <m:wrapIndent m:val="1440"/>
    <m:intLim m:val="subSup"/>
    <m:naryLim m:val="undOvr"/>
  </m:mathPr>
  <w:themeFontLang w:val="fr-CH"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B113733"/>
  <w15:chartTrackingRefBased/>
  <w15:docId w15:val="{FBCC2A21-26BC-4AAF-A50E-877938751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552"/>
    <w:rPr>
      <w:lang w:val="en-GB"/>
    </w:rPr>
  </w:style>
  <w:style w:type="paragraph" w:styleId="Titre1">
    <w:name w:val="heading 1"/>
    <w:basedOn w:val="Normal"/>
    <w:next w:val="Normal"/>
    <w:link w:val="Titre1Car"/>
    <w:uiPriority w:val="9"/>
    <w:qFormat/>
    <w:rsid w:val="00C737D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C737D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C737D6"/>
    <w:pPr>
      <w:keepNext/>
      <w:keepLines/>
      <w:spacing w:before="160" w:after="80"/>
      <w:outlineLvl w:val="2"/>
    </w:pPr>
    <w:rPr>
      <w:rFonts w:eastAsiaTheme="majorEastAsia"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C737D6"/>
    <w:pPr>
      <w:keepNext/>
      <w:keepLines/>
      <w:spacing w:before="80"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C737D6"/>
    <w:pPr>
      <w:keepNext/>
      <w:keepLines/>
      <w:spacing w:before="80"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C737D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737D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737D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737D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737D6"/>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C737D6"/>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C737D6"/>
    <w:rPr>
      <w:rFonts w:eastAsiaTheme="majorEastAsia" w:cstheme="majorBidi"/>
      <w:color w:val="365F91" w:themeColor="accent1" w:themeShade="BF"/>
      <w:sz w:val="28"/>
      <w:szCs w:val="28"/>
    </w:rPr>
  </w:style>
  <w:style w:type="character" w:customStyle="1" w:styleId="Titre4Car">
    <w:name w:val="Titre 4 Car"/>
    <w:basedOn w:val="Policepardfaut"/>
    <w:link w:val="Titre4"/>
    <w:uiPriority w:val="9"/>
    <w:semiHidden/>
    <w:rsid w:val="00C737D6"/>
    <w:rPr>
      <w:rFonts w:eastAsiaTheme="majorEastAsia" w:cstheme="majorBidi"/>
      <w:i/>
      <w:iCs/>
      <w:color w:val="365F91" w:themeColor="accent1" w:themeShade="BF"/>
    </w:rPr>
  </w:style>
  <w:style w:type="character" w:customStyle="1" w:styleId="Titre5Car">
    <w:name w:val="Titre 5 Car"/>
    <w:basedOn w:val="Policepardfaut"/>
    <w:link w:val="Titre5"/>
    <w:uiPriority w:val="9"/>
    <w:semiHidden/>
    <w:rsid w:val="00C737D6"/>
    <w:rPr>
      <w:rFonts w:eastAsiaTheme="majorEastAsia" w:cstheme="majorBidi"/>
      <w:color w:val="365F91" w:themeColor="accent1" w:themeShade="BF"/>
    </w:rPr>
  </w:style>
  <w:style w:type="character" w:customStyle="1" w:styleId="Titre6Car">
    <w:name w:val="Titre 6 Car"/>
    <w:basedOn w:val="Policepardfaut"/>
    <w:link w:val="Titre6"/>
    <w:uiPriority w:val="9"/>
    <w:semiHidden/>
    <w:rsid w:val="00C737D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737D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737D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737D6"/>
    <w:rPr>
      <w:rFonts w:eastAsiaTheme="majorEastAsia" w:cstheme="majorBidi"/>
      <w:color w:val="272727" w:themeColor="text1" w:themeTint="D8"/>
    </w:rPr>
  </w:style>
  <w:style w:type="paragraph" w:styleId="Titre">
    <w:name w:val="Title"/>
    <w:basedOn w:val="Normal"/>
    <w:next w:val="Normal"/>
    <w:link w:val="TitreCar"/>
    <w:uiPriority w:val="10"/>
    <w:qFormat/>
    <w:rsid w:val="00C737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737D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737D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737D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737D6"/>
    <w:pPr>
      <w:spacing w:before="160"/>
      <w:jc w:val="center"/>
    </w:pPr>
    <w:rPr>
      <w:i/>
      <w:iCs/>
      <w:color w:val="404040" w:themeColor="text1" w:themeTint="BF"/>
    </w:rPr>
  </w:style>
  <w:style w:type="character" w:customStyle="1" w:styleId="CitationCar">
    <w:name w:val="Citation Car"/>
    <w:basedOn w:val="Policepardfaut"/>
    <w:link w:val="Citation"/>
    <w:uiPriority w:val="29"/>
    <w:rsid w:val="00C737D6"/>
    <w:rPr>
      <w:i/>
      <w:iCs/>
      <w:color w:val="404040" w:themeColor="text1" w:themeTint="BF"/>
    </w:rPr>
  </w:style>
  <w:style w:type="paragraph" w:styleId="Paragraphedeliste">
    <w:name w:val="List Paragraph"/>
    <w:basedOn w:val="Normal"/>
    <w:uiPriority w:val="34"/>
    <w:qFormat/>
    <w:rsid w:val="00C737D6"/>
    <w:pPr>
      <w:ind w:left="720"/>
      <w:contextualSpacing/>
    </w:pPr>
  </w:style>
  <w:style w:type="character" w:styleId="Accentuationintense">
    <w:name w:val="Intense Emphasis"/>
    <w:basedOn w:val="Policepardfaut"/>
    <w:uiPriority w:val="21"/>
    <w:qFormat/>
    <w:rsid w:val="00C737D6"/>
    <w:rPr>
      <w:i/>
      <w:iCs/>
      <w:color w:val="365F91" w:themeColor="accent1" w:themeShade="BF"/>
    </w:rPr>
  </w:style>
  <w:style w:type="paragraph" w:styleId="Citationintense">
    <w:name w:val="Intense Quote"/>
    <w:basedOn w:val="Normal"/>
    <w:next w:val="Normal"/>
    <w:link w:val="CitationintenseCar"/>
    <w:uiPriority w:val="30"/>
    <w:qFormat/>
    <w:rsid w:val="00C737D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C737D6"/>
    <w:rPr>
      <w:i/>
      <w:iCs/>
      <w:color w:val="365F91" w:themeColor="accent1" w:themeShade="BF"/>
    </w:rPr>
  </w:style>
  <w:style w:type="character" w:styleId="Rfrenceintense">
    <w:name w:val="Intense Reference"/>
    <w:basedOn w:val="Policepardfaut"/>
    <w:uiPriority w:val="32"/>
    <w:qFormat/>
    <w:rsid w:val="00C737D6"/>
    <w:rPr>
      <w:b/>
      <w:bCs/>
      <w:smallCaps/>
      <w:color w:val="365F91" w:themeColor="accent1" w:themeShade="BF"/>
      <w:spacing w:val="5"/>
    </w:rPr>
  </w:style>
  <w:style w:type="paragraph" w:styleId="NormalWeb">
    <w:name w:val="Normal (Web)"/>
    <w:basedOn w:val="Normal"/>
    <w:uiPriority w:val="99"/>
    <w:unhideWhenUsed/>
    <w:rsid w:val="00C737D6"/>
    <w:pPr>
      <w:spacing w:before="100" w:beforeAutospacing="1" w:after="100" w:afterAutospacing="1" w:line="240" w:lineRule="auto"/>
    </w:pPr>
    <w:rPr>
      <w:rFonts w:ascii="Times New Roman" w:eastAsia="Times New Roman" w:hAnsi="Times New Roman" w:cs="Times New Roman"/>
      <w:kern w:val="0"/>
      <w:sz w:val="24"/>
      <w:szCs w:val="24"/>
      <w:lang w:val="fr-FR" w:eastAsia="fr-FR"/>
      <w14:ligatures w14:val="none"/>
    </w:rPr>
  </w:style>
  <w:style w:type="character" w:styleId="lev">
    <w:name w:val="Strong"/>
    <w:basedOn w:val="Policepardfaut"/>
    <w:uiPriority w:val="22"/>
    <w:qFormat/>
    <w:rsid w:val="00C737D6"/>
    <w:rPr>
      <w:b/>
      <w:bCs/>
    </w:rPr>
  </w:style>
  <w:style w:type="character" w:styleId="Marquedecommentaire">
    <w:name w:val="annotation reference"/>
    <w:basedOn w:val="Policepardfaut"/>
    <w:uiPriority w:val="99"/>
    <w:semiHidden/>
    <w:unhideWhenUsed/>
    <w:rsid w:val="00C737D6"/>
    <w:rPr>
      <w:sz w:val="16"/>
      <w:szCs w:val="16"/>
    </w:rPr>
  </w:style>
  <w:style w:type="paragraph" w:styleId="Commentaire">
    <w:name w:val="annotation text"/>
    <w:basedOn w:val="Normal"/>
    <w:link w:val="CommentaireCar"/>
    <w:uiPriority w:val="99"/>
    <w:unhideWhenUsed/>
    <w:rsid w:val="00C737D6"/>
    <w:pPr>
      <w:spacing w:line="240" w:lineRule="auto"/>
    </w:pPr>
    <w:rPr>
      <w:sz w:val="20"/>
      <w:szCs w:val="20"/>
    </w:rPr>
  </w:style>
  <w:style w:type="character" w:customStyle="1" w:styleId="CommentaireCar">
    <w:name w:val="Commentaire Car"/>
    <w:basedOn w:val="Policepardfaut"/>
    <w:link w:val="Commentaire"/>
    <w:uiPriority w:val="99"/>
    <w:rsid w:val="00C737D6"/>
    <w:rPr>
      <w:sz w:val="20"/>
      <w:szCs w:val="20"/>
      <w:lang w:val="en-GB"/>
    </w:rPr>
  </w:style>
  <w:style w:type="paragraph" w:styleId="En-tte">
    <w:name w:val="header"/>
    <w:basedOn w:val="Normal"/>
    <w:link w:val="En-tteCar"/>
    <w:uiPriority w:val="99"/>
    <w:unhideWhenUsed/>
    <w:rsid w:val="008D7D7E"/>
    <w:pPr>
      <w:tabs>
        <w:tab w:val="center" w:pos="4536"/>
        <w:tab w:val="right" w:pos="9072"/>
      </w:tabs>
      <w:spacing w:after="0" w:line="240" w:lineRule="auto"/>
    </w:pPr>
  </w:style>
  <w:style w:type="character" w:customStyle="1" w:styleId="En-tteCar">
    <w:name w:val="En-tête Car"/>
    <w:basedOn w:val="Policepardfaut"/>
    <w:link w:val="En-tte"/>
    <w:uiPriority w:val="99"/>
    <w:rsid w:val="008D7D7E"/>
    <w:rPr>
      <w:lang w:val="en-GB"/>
    </w:rPr>
  </w:style>
  <w:style w:type="paragraph" w:styleId="Pieddepage">
    <w:name w:val="footer"/>
    <w:basedOn w:val="Normal"/>
    <w:link w:val="PieddepageCar"/>
    <w:uiPriority w:val="99"/>
    <w:unhideWhenUsed/>
    <w:rsid w:val="008D7D7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D7D7E"/>
    <w:rPr>
      <w:lang w:val="en-GB"/>
    </w:rPr>
  </w:style>
  <w:style w:type="paragraph" w:styleId="Objetducommentaire">
    <w:name w:val="annotation subject"/>
    <w:basedOn w:val="Commentaire"/>
    <w:next w:val="Commentaire"/>
    <w:link w:val="ObjetducommentaireCar"/>
    <w:uiPriority w:val="99"/>
    <w:semiHidden/>
    <w:unhideWhenUsed/>
    <w:rsid w:val="00D17A5C"/>
    <w:rPr>
      <w:b/>
      <w:bCs/>
    </w:rPr>
  </w:style>
  <w:style w:type="character" w:customStyle="1" w:styleId="ObjetducommentaireCar">
    <w:name w:val="Objet du commentaire Car"/>
    <w:basedOn w:val="CommentaireCar"/>
    <w:link w:val="Objetducommentaire"/>
    <w:uiPriority w:val="99"/>
    <w:semiHidden/>
    <w:rsid w:val="00D17A5C"/>
    <w:rPr>
      <w:b/>
      <w:bCs/>
      <w:sz w:val="20"/>
      <w:szCs w:val="20"/>
      <w:lang w:val="en-GB"/>
    </w:rPr>
  </w:style>
  <w:style w:type="paragraph" w:styleId="Rvision">
    <w:name w:val="Revision"/>
    <w:hidden/>
    <w:uiPriority w:val="99"/>
    <w:semiHidden/>
    <w:rsid w:val="004B4CF8"/>
    <w:pPr>
      <w:spacing w:after="0" w:line="240" w:lineRule="auto"/>
    </w:pPr>
    <w:rPr>
      <w:lang w:val="en-GB"/>
    </w:rPr>
  </w:style>
  <w:style w:type="character" w:styleId="Lienhypertexte">
    <w:name w:val="Hyperlink"/>
    <w:basedOn w:val="Policepardfaut"/>
    <w:uiPriority w:val="99"/>
    <w:unhideWhenUsed/>
    <w:rsid w:val="00950164"/>
    <w:rPr>
      <w:color w:val="0000FF" w:themeColor="hyperlink"/>
      <w:u w:val="single"/>
    </w:rPr>
  </w:style>
  <w:style w:type="character" w:styleId="Mentionnonrsolue">
    <w:name w:val="Unresolved Mention"/>
    <w:basedOn w:val="Policepardfaut"/>
    <w:uiPriority w:val="99"/>
    <w:semiHidden/>
    <w:unhideWhenUsed/>
    <w:rsid w:val="00950164"/>
    <w:rPr>
      <w:color w:val="605E5C"/>
      <w:shd w:val="clear" w:color="auto" w:fill="E1DFDD"/>
    </w:rPr>
  </w:style>
  <w:style w:type="character" w:styleId="Lienhypertextesuivivisit">
    <w:name w:val="FollowedHyperlink"/>
    <w:basedOn w:val="Policepardfaut"/>
    <w:uiPriority w:val="99"/>
    <w:semiHidden/>
    <w:unhideWhenUsed/>
    <w:rsid w:val="00950164"/>
    <w:rPr>
      <w:color w:val="800080" w:themeColor="followedHyperlink"/>
      <w:u w:val="single"/>
    </w:rPr>
  </w:style>
  <w:style w:type="table" w:customStyle="1" w:styleId="Grilledutableau1">
    <w:name w:val="Grille du tableau1"/>
    <w:basedOn w:val="TableauNormal"/>
    <w:uiPriority w:val="59"/>
    <w:rsid w:val="00C31B1D"/>
    <w:pPr>
      <w:spacing w:after="0" w:line="240" w:lineRule="auto"/>
    </w:pPr>
    <w:rPr>
      <w:rFonts w:ascii="Cambria" w:eastAsia="MS Mincho" w:hAnsi="Cambria" w:cs="Times New Roman"/>
      <w:kern w:val="0"/>
      <w:sz w:val="24"/>
      <w:szCs w:val="24"/>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791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docs.org/S/RES/1397(2002)" TargetMode="External"/><Relationship Id="rId18" Type="http://schemas.openxmlformats.org/officeDocument/2006/relationships/hyperlink" Target="https://undocs.org/A/RES/58/292"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undocs.org/A/RES/79/81" TargetMode="External"/><Relationship Id="rId7" Type="http://schemas.openxmlformats.org/officeDocument/2006/relationships/settings" Target="settings.xml"/><Relationship Id="rId12" Type="http://schemas.openxmlformats.org/officeDocument/2006/relationships/hyperlink" Target="https://undocs.org/S/RES/338(1973)" TargetMode="External"/><Relationship Id="rId17" Type="http://schemas.openxmlformats.org/officeDocument/2006/relationships/hyperlink" Target="https://undocs.org/A/RES/194(III)"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undocs.org/A/RES/181(II)" TargetMode="External"/><Relationship Id="rId20" Type="http://schemas.openxmlformats.org/officeDocument/2006/relationships/hyperlink" Target="https://undocs.org/A/RES/73/1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docs.org/S/RES/242(1967)"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undocs.org/S/RES/2334(2016)"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undocs.org/A/RES/67/1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docs.org/S/RES/1515(2003)" TargetMode="External"/><Relationship Id="rId22" Type="http://schemas.openxmlformats.org/officeDocument/2006/relationships/header" Target="head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20FE369F448C48A3347038D18EFD0B" ma:contentTypeVersion="2" ma:contentTypeDescription="Create a new document." ma:contentTypeScope="" ma:versionID="6bb1b66cbf59773682ab3131ef598fc7">
  <xsd:schema xmlns:xsd="http://www.w3.org/2001/XMLSchema" xmlns:xs="http://www.w3.org/2001/XMLSchema" xmlns:p="http://schemas.microsoft.com/office/2006/metadata/properties" xmlns:ns2="793d8a23-fb4a-404c-8f20-5db9a0662cc5" targetNamespace="http://schemas.microsoft.com/office/2006/metadata/properties" ma:root="true" ma:fieldsID="284bb526605233663960c75969874049" ns2:_="">
    <xsd:import namespace="793d8a23-fb4a-404c-8f20-5db9a0662cc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d8a23-fb4a-404c-8f20-5db9a0662cc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312D6-9C80-46D5-9B2A-A62431A25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3d8a23-fb4a-404c-8f20-5db9a0662c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2D622D-55D0-4F1A-A187-75932ACF3F7A}">
  <ds:schemaRefs>
    <ds:schemaRef ds:uri="http://purl.org/dc/terms/"/>
    <ds:schemaRef ds:uri="http://schemas.openxmlformats.org/package/2006/metadata/core-properties"/>
    <ds:schemaRef ds:uri="http://schemas.microsoft.com/office/2006/documentManagement/types"/>
    <ds:schemaRef ds:uri="http://purl.org/dc/dcmitype/"/>
    <ds:schemaRef ds:uri="793d8a23-fb4a-404c-8f20-5db9a0662cc5"/>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1DC1EAD4-0375-4C4C-8286-A2DEEA58C18A}">
  <ds:schemaRefs>
    <ds:schemaRef ds:uri="http://schemas.microsoft.com/sharepoint/v3/contenttype/forms"/>
  </ds:schemaRefs>
</ds:datastoreItem>
</file>

<file path=customXml/itemProps4.xml><?xml version="1.0" encoding="utf-8"?>
<ds:datastoreItem xmlns:ds="http://schemas.openxmlformats.org/officeDocument/2006/customXml" ds:itemID="{84C01576-9690-4268-BE3F-B6ED57288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1923</Words>
  <Characters>10580</Characters>
  <Application>Microsoft Office Word</Application>
  <DocSecurity>0</DocSecurity>
  <Lines>88</Lines>
  <Paragraphs>24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Marzal</dc:creator>
  <cp:keywords/>
  <dc:description/>
  <cp:lastModifiedBy>Emilie Vulpillière</cp:lastModifiedBy>
  <cp:revision>11</cp:revision>
  <cp:lastPrinted>2025-01-10T14:21:00Z</cp:lastPrinted>
  <dcterms:created xsi:type="dcterms:W3CDTF">2025-01-09T14:57:00Z</dcterms:created>
  <dcterms:modified xsi:type="dcterms:W3CDTF">2025-01-13T13:34:00Z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0x010100F920FE369F448C48A3347038D18EFD0B</vt:lpwstr>
  </property>
</Properties>
</file>