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4E52" w14:textId="77777777" w:rsidR="00333ED3" w:rsidRPr="00107F57" w:rsidRDefault="00333ED3" w:rsidP="00415253">
      <w:pPr>
        <w:tabs>
          <w:tab w:val="left" w:pos="5954"/>
        </w:tabs>
        <w:rPr>
          <w:rFonts w:ascii="Arial" w:eastAsia="Calibri" w:hAnsi="Arial" w:cs="Arial"/>
          <w:sz w:val="20"/>
          <w:szCs w:val="20"/>
          <w:lang w:eastAsia="en-US" w:bidi="ar-SA"/>
        </w:rPr>
      </w:pPr>
    </w:p>
    <w:p w14:paraId="649FDBC7" w14:textId="77777777" w:rsidR="00333ED3" w:rsidRPr="00107F57" w:rsidRDefault="00333ED3" w:rsidP="00415253">
      <w:pPr>
        <w:tabs>
          <w:tab w:val="left" w:pos="5954"/>
        </w:tabs>
        <w:rPr>
          <w:rFonts w:ascii="Arial" w:eastAsia="Calibri" w:hAnsi="Arial" w:cs="Arial"/>
          <w:sz w:val="20"/>
          <w:szCs w:val="20"/>
          <w:lang w:eastAsia="en-US" w:bidi="ar-SA"/>
        </w:rPr>
      </w:pPr>
    </w:p>
    <w:p w14:paraId="0DE42944" w14:textId="0D761E11" w:rsidR="00415253" w:rsidRPr="00107F57" w:rsidRDefault="00415253" w:rsidP="006F2213">
      <w:pPr>
        <w:tabs>
          <w:tab w:val="left" w:pos="5812"/>
        </w:tabs>
        <w:rPr>
          <w:rFonts w:ascii="Arial" w:eastAsia="Calibri" w:hAnsi="Arial" w:cs="Arial"/>
          <w:sz w:val="20"/>
          <w:szCs w:val="20"/>
          <w:lang w:eastAsia="en-US" w:bidi="ar-SA"/>
        </w:rPr>
      </w:pPr>
      <w:r w:rsidRPr="00107F57">
        <w:rPr>
          <w:rFonts w:ascii="Arial" w:eastAsia="Calibri" w:hAnsi="Arial" w:cs="Arial"/>
          <w:sz w:val="20"/>
          <w:szCs w:val="20"/>
          <w:lang w:eastAsia="en-US" w:bidi="ar-SA"/>
        </w:rPr>
        <w:t>Commission permanente de la</w:t>
      </w:r>
      <w:r w:rsidRPr="00107F57">
        <w:rPr>
          <w:rFonts w:ascii="Arial" w:eastAsia="Calibri" w:hAnsi="Arial" w:cs="Arial"/>
          <w:sz w:val="20"/>
          <w:szCs w:val="20"/>
          <w:lang w:eastAsia="en-US" w:bidi="ar-SA"/>
        </w:rPr>
        <w:tab/>
        <w:t>C-III/14</w:t>
      </w:r>
      <w:r w:rsidR="004F7142" w:rsidRPr="00107F57">
        <w:rPr>
          <w:rFonts w:ascii="Arial" w:eastAsia="Calibri" w:hAnsi="Arial" w:cs="Arial"/>
          <w:sz w:val="20"/>
          <w:szCs w:val="20"/>
          <w:lang w:eastAsia="en-US" w:bidi="ar-SA"/>
        </w:rPr>
        <w:t>5</w:t>
      </w:r>
      <w:r w:rsidRPr="00107F57">
        <w:rPr>
          <w:rFonts w:ascii="Arial" w:eastAsia="Calibri" w:hAnsi="Arial" w:cs="Arial"/>
          <w:sz w:val="20"/>
          <w:szCs w:val="20"/>
          <w:lang w:eastAsia="en-US" w:bidi="ar-SA"/>
        </w:rPr>
        <w:t>/</w:t>
      </w:r>
      <w:r w:rsidR="00245B89" w:rsidRPr="00107F57">
        <w:rPr>
          <w:rFonts w:ascii="Arial" w:eastAsia="Calibri" w:hAnsi="Arial" w:cs="Arial"/>
          <w:sz w:val="20"/>
          <w:szCs w:val="20"/>
          <w:lang w:eastAsia="en-US" w:bidi="ar-SA"/>
        </w:rPr>
        <w:t>DR</w:t>
      </w:r>
    </w:p>
    <w:p w14:paraId="050FDC24" w14:textId="4683365E" w:rsidR="00415253" w:rsidRPr="00107F57" w:rsidRDefault="00415253" w:rsidP="006F2213">
      <w:pPr>
        <w:tabs>
          <w:tab w:val="left" w:pos="5812"/>
        </w:tabs>
        <w:rPr>
          <w:rFonts w:ascii="Arial" w:eastAsia="Calibri" w:hAnsi="Arial" w:cs="Arial"/>
          <w:sz w:val="20"/>
          <w:szCs w:val="20"/>
          <w:lang w:eastAsia="en-US" w:bidi="ar-SA"/>
        </w:rPr>
      </w:pPr>
      <w:r w:rsidRPr="00107F57">
        <w:rPr>
          <w:rFonts w:ascii="Arial" w:eastAsia="Calibri" w:hAnsi="Arial" w:cs="Arial"/>
          <w:sz w:val="20"/>
          <w:szCs w:val="20"/>
          <w:lang w:eastAsia="en-US" w:bidi="ar-SA"/>
        </w:rPr>
        <w:t>démocratie et des droits de l'homme</w:t>
      </w:r>
      <w:r w:rsidRPr="00107F57">
        <w:rPr>
          <w:rFonts w:ascii="Arial" w:eastAsia="Calibri" w:hAnsi="Arial" w:cs="Arial"/>
          <w:sz w:val="20"/>
          <w:szCs w:val="20"/>
          <w:lang w:eastAsia="en-US" w:bidi="ar-SA"/>
        </w:rPr>
        <w:tab/>
      </w:r>
      <w:r w:rsidR="009C4ED9">
        <w:rPr>
          <w:rFonts w:ascii="Arial" w:eastAsia="Calibri" w:hAnsi="Arial" w:cs="Arial"/>
          <w:sz w:val="20"/>
          <w:szCs w:val="20"/>
          <w:lang w:eastAsia="en-US" w:bidi="ar-SA"/>
        </w:rPr>
        <w:t>17</w:t>
      </w:r>
      <w:r w:rsidR="00C37260">
        <w:rPr>
          <w:rFonts w:ascii="Arial" w:eastAsia="Calibri" w:hAnsi="Arial" w:cs="Arial"/>
          <w:sz w:val="20"/>
          <w:szCs w:val="20"/>
          <w:lang w:eastAsia="en-US" w:bidi="ar-SA"/>
        </w:rPr>
        <w:t xml:space="preserve"> août</w:t>
      </w:r>
      <w:r w:rsidR="004F7142" w:rsidRPr="00107F57">
        <w:rPr>
          <w:rFonts w:ascii="Arial" w:eastAsia="Calibri" w:hAnsi="Arial" w:cs="Arial"/>
          <w:sz w:val="20"/>
          <w:szCs w:val="20"/>
          <w:lang w:eastAsia="en-US" w:bidi="ar-SA"/>
        </w:rPr>
        <w:t xml:space="preserve"> 2022</w:t>
      </w:r>
    </w:p>
    <w:p w14:paraId="4C7CFAAA" w14:textId="77777777" w:rsidR="00B01B94" w:rsidRPr="00107F57" w:rsidRDefault="00B01B94" w:rsidP="00B01B94">
      <w:pPr>
        <w:pStyle w:val="NormalWeb"/>
        <w:spacing w:before="0" w:beforeAutospacing="0" w:after="0" w:afterAutospacing="0"/>
        <w:rPr>
          <w:rFonts w:ascii="Arial" w:hAnsi="Arial"/>
          <w:b/>
          <w:color w:val="00B0F0"/>
          <w:sz w:val="20"/>
          <w:szCs w:val="20"/>
        </w:rPr>
      </w:pPr>
    </w:p>
    <w:p w14:paraId="71A91E53" w14:textId="1276138F" w:rsidR="00DD709C" w:rsidRPr="004F19DE" w:rsidRDefault="004F7142" w:rsidP="00B01B94">
      <w:pPr>
        <w:pStyle w:val="NormalWeb"/>
        <w:spacing w:before="0" w:beforeAutospacing="0" w:after="0" w:afterAutospacing="0"/>
        <w:jc w:val="center"/>
        <w:rPr>
          <w:rFonts w:ascii="Arial" w:hAnsi="Arial"/>
          <w:b/>
          <w:color w:val="00AABE"/>
          <w:sz w:val="26"/>
          <w:szCs w:val="26"/>
        </w:rPr>
      </w:pPr>
      <w:r w:rsidRPr="004F19DE">
        <w:rPr>
          <w:rFonts w:ascii="Arial" w:hAnsi="Arial"/>
          <w:b/>
          <w:bCs/>
          <w:color w:val="00AABE"/>
          <w:sz w:val="26"/>
          <w:szCs w:val="26"/>
        </w:rPr>
        <w:t>L’impulsion parlementaire en faveur du développement local et régional des pays à taux de migration internationale élevé et de la cessation de toutes les formes de traite des êtres humains et de violation des droits de l’homme, y compris celles commanditées par les États</w:t>
      </w:r>
    </w:p>
    <w:p w14:paraId="44AA1042" w14:textId="7670D145" w:rsidR="006B374E" w:rsidRPr="00107F57" w:rsidRDefault="006B374E" w:rsidP="006B374E">
      <w:pPr>
        <w:ind w:left="851" w:hanging="851"/>
        <w:rPr>
          <w:rFonts w:ascii="Arial" w:hAnsi="Arial"/>
          <w:sz w:val="20"/>
          <w:szCs w:val="20"/>
        </w:rPr>
      </w:pPr>
    </w:p>
    <w:p w14:paraId="75B886B5" w14:textId="24D59F80" w:rsidR="004F7142" w:rsidRPr="00107F57" w:rsidRDefault="004F7142" w:rsidP="004F7142">
      <w:pPr>
        <w:tabs>
          <w:tab w:val="left" w:pos="567"/>
        </w:tabs>
        <w:ind w:left="-142"/>
        <w:jc w:val="center"/>
        <w:rPr>
          <w:rFonts w:ascii="Arial" w:hAnsi="Arial" w:cs="Arial"/>
          <w:b/>
          <w:i/>
          <w:sz w:val="20"/>
          <w:szCs w:val="20"/>
        </w:rPr>
      </w:pPr>
      <w:r w:rsidRPr="00107F57">
        <w:rPr>
          <w:rFonts w:ascii="Arial" w:hAnsi="Arial" w:cs="Arial"/>
          <w:b/>
          <w:bCs/>
          <w:i/>
          <w:iCs/>
          <w:color w:val="000000"/>
          <w:sz w:val="20"/>
          <w:szCs w:val="20"/>
          <w:u w:val="single"/>
          <w:lang w:eastAsia="fr-CH"/>
        </w:rPr>
        <w:t>Projet de résolution</w:t>
      </w:r>
      <w:r w:rsidRPr="00107F57">
        <w:rPr>
          <w:rFonts w:ascii="Arial" w:hAnsi="Arial" w:cs="Arial"/>
          <w:b/>
          <w:i/>
          <w:color w:val="000000"/>
          <w:sz w:val="20"/>
          <w:szCs w:val="20"/>
          <w:lang w:eastAsia="fr-CH"/>
        </w:rPr>
        <w:t xml:space="preserve"> </w:t>
      </w:r>
      <w:r w:rsidRPr="00107F57">
        <w:rPr>
          <w:rFonts w:ascii="Arial" w:hAnsi="Arial" w:cs="Arial"/>
          <w:b/>
          <w:bCs/>
          <w:i/>
          <w:iCs/>
          <w:color w:val="000000"/>
          <w:sz w:val="20"/>
          <w:szCs w:val="20"/>
          <w:lang w:eastAsia="fr-CH"/>
        </w:rPr>
        <w:t xml:space="preserve">présenté par les </w:t>
      </w:r>
      <w:proofErr w:type="spellStart"/>
      <w:r w:rsidRPr="00107F57">
        <w:rPr>
          <w:rFonts w:ascii="Arial" w:hAnsi="Arial" w:cs="Arial"/>
          <w:b/>
          <w:bCs/>
          <w:i/>
          <w:iCs/>
          <w:color w:val="000000"/>
          <w:sz w:val="20"/>
          <w:szCs w:val="20"/>
          <w:lang w:eastAsia="fr-CH"/>
        </w:rPr>
        <w:t>co-rapporteurs</w:t>
      </w:r>
      <w:proofErr w:type="spellEnd"/>
    </w:p>
    <w:p w14:paraId="4314BEAC" w14:textId="7B076BFC" w:rsidR="004F7142" w:rsidRPr="00107F57" w:rsidRDefault="004F7142" w:rsidP="004F7142">
      <w:pPr>
        <w:tabs>
          <w:tab w:val="left" w:pos="567"/>
        </w:tabs>
        <w:ind w:left="-142"/>
        <w:jc w:val="center"/>
        <w:rPr>
          <w:rFonts w:ascii="Arial" w:hAnsi="Arial" w:cs="Arial"/>
          <w:b/>
          <w:i/>
          <w:sz w:val="20"/>
          <w:szCs w:val="20"/>
        </w:rPr>
      </w:pPr>
      <w:r w:rsidRPr="00107F57">
        <w:rPr>
          <w:rFonts w:ascii="Arial" w:hAnsi="Arial" w:cs="Arial"/>
          <w:b/>
          <w:i/>
          <w:sz w:val="20"/>
          <w:szCs w:val="20"/>
        </w:rPr>
        <w:t xml:space="preserve">M. J. </w:t>
      </w:r>
      <w:proofErr w:type="spellStart"/>
      <w:r w:rsidRPr="00107F57">
        <w:rPr>
          <w:rFonts w:ascii="Arial" w:hAnsi="Arial" w:cs="Arial"/>
          <w:b/>
          <w:i/>
          <w:sz w:val="20"/>
          <w:szCs w:val="20"/>
        </w:rPr>
        <w:t>Wadephul</w:t>
      </w:r>
      <w:proofErr w:type="spellEnd"/>
      <w:r w:rsidRPr="00107F57">
        <w:rPr>
          <w:rFonts w:ascii="Arial" w:hAnsi="Arial" w:cs="Arial"/>
          <w:b/>
          <w:i/>
          <w:sz w:val="20"/>
          <w:szCs w:val="20"/>
        </w:rPr>
        <w:t xml:space="preserve"> (Allemagne), M. F. Zon (Indonésie) et Mme S. </w:t>
      </w:r>
      <w:proofErr w:type="spellStart"/>
      <w:r w:rsidRPr="00107F57">
        <w:rPr>
          <w:rFonts w:ascii="Arial" w:hAnsi="Arial" w:cs="Arial"/>
          <w:b/>
          <w:i/>
          <w:sz w:val="20"/>
          <w:szCs w:val="20"/>
        </w:rPr>
        <w:t>Nane</w:t>
      </w:r>
      <w:proofErr w:type="spellEnd"/>
      <w:r w:rsidRPr="00107F57">
        <w:rPr>
          <w:rFonts w:ascii="Arial" w:hAnsi="Arial" w:cs="Arial"/>
          <w:b/>
          <w:i/>
          <w:sz w:val="20"/>
          <w:szCs w:val="20"/>
        </w:rPr>
        <w:t xml:space="preserve"> (Uruguay)</w:t>
      </w:r>
    </w:p>
    <w:p w14:paraId="61192AF1" w14:textId="77777777" w:rsidR="004F7142" w:rsidRPr="00107F57" w:rsidRDefault="004F7142" w:rsidP="006B374E">
      <w:pPr>
        <w:ind w:left="851" w:hanging="851"/>
        <w:rPr>
          <w:rFonts w:ascii="Arial" w:hAnsi="Arial" w:cs="Arial"/>
          <w:sz w:val="20"/>
          <w:szCs w:val="20"/>
          <w:u w:val="single"/>
        </w:rPr>
      </w:pPr>
    </w:p>
    <w:p w14:paraId="6DCA20B5" w14:textId="77777777" w:rsidR="006B374E" w:rsidRPr="00107F57" w:rsidRDefault="006B374E" w:rsidP="006B374E">
      <w:pPr>
        <w:tabs>
          <w:tab w:val="left" w:pos="567"/>
        </w:tabs>
        <w:rPr>
          <w:rFonts w:ascii="Arial" w:eastAsia="Times New Roman" w:hAnsi="Arial" w:cs="Arial"/>
          <w:sz w:val="20"/>
          <w:szCs w:val="20"/>
        </w:rPr>
      </w:pPr>
    </w:p>
    <w:p w14:paraId="00DA3D0F" w14:textId="77777777" w:rsidR="00CF7426" w:rsidRPr="00107F57" w:rsidRDefault="00CF7426" w:rsidP="00CF7426">
      <w:pPr>
        <w:pStyle w:val="Default"/>
        <w:tabs>
          <w:tab w:val="left" w:pos="1134"/>
        </w:tabs>
        <w:ind w:left="1134"/>
        <w:rPr>
          <w:sz w:val="20"/>
          <w:szCs w:val="20"/>
          <w:lang w:val="fr-FR"/>
        </w:rPr>
      </w:pPr>
      <w:r w:rsidRPr="00107F57">
        <w:rPr>
          <w:sz w:val="20"/>
          <w:lang w:val="fr-FR"/>
        </w:rPr>
        <w:t>La 145</w:t>
      </w:r>
      <w:r w:rsidRPr="00107F57">
        <w:rPr>
          <w:sz w:val="20"/>
          <w:vertAlign w:val="superscript"/>
          <w:lang w:val="fr-FR"/>
        </w:rPr>
        <w:t>e</w:t>
      </w:r>
      <w:r w:rsidRPr="00107F57">
        <w:rPr>
          <w:sz w:val="20"/>
          <w:lang w:val="fr-FR"/>
        </w:rPr>
        <w:t xml:space="preserve"> Assemblée de l’Union interparlementaire, </w:t>
      </w:r>
    </w:p>
    <w:p w14:paraId="4F6523A4" w14:textId="77777777" w:rsidR="00CF7426" w:rsidRPr="00107F57" w:rsidRDefault="00CF7426" w:rsidP="00CF7426">
      <w:pPr>
        <w:pStyle w:val="Default"/>
        <w:ind w:left="-142"/>
        <w:rPr>
          <w:sz w:val="20"/>
          <w:szCs w:val="20"/>
          <w:lang w:val="fr-FR"/>
        </w:rPr>
      </w:pPr>
    </w:p>
    <w:p w14:paraId="0D0BF7D3" w14:textId="77777777" w:rsidR="008311FC" w:rsidRPr="00107F57" w:rsidRDefault="008311FC" w:rsidP="006278CF">
      <w:pPr>
        <w:pStyle w:val="Default"/>
        <w:tabs>
          <w:tab w:val="left" w:pos="1134"/>
        </w:tabs>
        <w:rPr>
          <w:sz w:val="20"/>
          <w:szCs w:val="20"/>
          <w:lang w:val="fr-FR"/>
        </w:rPr>
      </w:pPr>
      <w:r w:rsidRPr="00107F57">
        <w:rPr>
          <w:sz w:val="20"/>
          <w:lang w:val="fr-FR"/>
        </w:rPr>
        <w:t>1)</w:t>
      </w:r>
      <w:r w:rsidRPr="00107F57">
        <w:rPr>
          <w:sz w:val="20"/>
          <w:lang w:val="fr-FR"/>
        </w:rPr>
        <w:tab/>
      </w:r>
      <w:r w:rsidRPr="00107F57">
        <w:rPr>
          <w:i/>
          <w:sz w:val="20"/>
          <w:lang w:val="fr-FR"/>
        </w:rPr>
        <w:t>exprimant</w:t>
      </w:r>
      <w:r w:rsidRPr="00107F57">
        <w:rPr>
          <w:sz w:val="20"/>
          <w:lang w:val="fr-FR"/>
        </w:rPr>
        <w:t xml:space="preserve"> </w:t>
      </w:r>
      <w:r w:rsidRPr="004F19DE">
        <w:rPr>
          <w:i/>
          <w:iCs/>
          <w:sz w:val="20"/>
          <w:lang w:val="fr-FR"/>
        </w:rPr>
        <w:t>sa vive inquiétude</w:t>
      </w:r>
      <w:r w:rsidRPr="00107F57">
        <w:rPr>
          <w:sz w:val="20"/>
          <w:lang w:val="fr-FR"/>
        </w:rPr>
        <w:t xml:space="preserve"> face à l’essor des réseaux de passeurs en tant que moyen de migration pour de nombreux groupes vulnérables,</w:t>
      </w:r>
    </w:p>
    <w:p w14:paraId="1F2F0E8E" w14:textId="77777777" w:rsidR="008311FC" w:rsidRPr="00107F57" w:rsidRDefault="008311FC" w:rsidP="006278CF">
      <w:pPr>
        <w:pStyle w:val="Default"/>
        <w:tabs>
          <w:tab w:val="left" w:pos="1134"/>
        </w:tabs>
        <w:rPr>
          <w:sz w:val="20"/>
          <w:szCs w:val="20"/>
          <w:lang w:val="fr-FR"/>
        </w:rPr>
      </w:pPr>
    </w:p>
    <w:p w14:paraId="6B4E1A33" w14:textId="77777777" w:rsidR="008311FC" w:rsidRPr="00107F57" w:rsidRDefault="008311FC" w:rsidP="006278CF">
      <w:pPr>
        <w:pStyle w:val="Default"/>
        <w:tabs>
          <w:tab w:val="left" w:pos="1134"/>
        </w:tabs>
        <w:rPr>
          <w:sz w:val="20"/>
          <w:szCs w:val="20"/>
          <w:lang w:val="fr-FR"/>
        </w:rPr>
      </w:pPr>
      <w:r w:rsidRPr="00107F57">
        <w:rPr>
          <w:sz w:val="20"/>
          <w:lang w:val="fr-FR"/>
        </w:rPr>
        <w:t>2)</w:t>
      </w:r>
      <w:r w:rsidRPr="00107F57">
        <w:rPr>
          <w:sz w:val="20"/>
          <w:lang w:val="fr-FR"/>
        </w:rPr>
        <w:tab/>
      </w:r>
      <w:r w:rsidRPr="00107F57">
        <w:rPr>
          <w:i/>
          <w:sz w:val="20"/>
          <w:lang w:val="fr-FR"/>
        </w:rPr>
        <w:t>rappelant</w:t>
      </w:r>
      <w:r w:rsidRPr="00107F57">
        <w:rPr>
          <w:sz w:val="20"/>
          <w:lang w:val="fr-FR"/>
        </w:rPr>
        <w:t xml:space="preserve"> le Pacte mondial pour des migrations sûres, ordonnées et régulières, approuvé par l’Assemblée générale des Nations Unies en 2018,</w:t>
      </w:r>
    </w:p>
    <w:p w14:paraId="2E5014B5" w14:textId="77777777" w:rsidR="008311FC" w:rsidRPr="00107F57" w:rsidRDefault="008311FC" w:rsidP="006278CF">
      <w:pPr>
        <w:pStyle w:val="Default"/>
        <w:tabs>
          <w:tab w:val="left" w:pos="1134"/>
        </w:tabs>
        <w:rPr>
          <w:sz w:val="20"/>
          <w:szCs w:val="20"/>
          <w:lang w:val="fr-FR"/>
        </w:rPr>
      </w:pPr>
    </w:p>
    <w:p w14:paraId="51373919" w14:textId="739ABCED" w:rsidR="008311FC" w:rsidRPr="00107F57" w:rsidRDefault="008311FC" w:rsidP="006278CF">
      <w:pPr>
        <w:pStyle w:val="Default"/>
        <w:tabs>
          <w:tab w:val="left" w:pos="1134"/>
        </w:tabs>
        <w:rPr>
          <w:sz w:val="20"/>
          <w:szCs w:val="20"/>
          <w:lang w:val="fr-FR"/>
        </w:rPr>
      </w:pPr>
      <w:r w:rsidRPr="00107F57">
        <w:rPr>
          <w:sz w:val="20"/>
          <w:lang w:val="fr-FR"/>
        </w:rPr>
        <w:t>3)</w:t>
      </w:r>
      <w:r w:rsidRPr="00107F57">
        <w:rPr>
          <w:sz w:val="20"/>
          <w:lang w:val="fr-FR"/>
        </w:rPr>
        <w:tab/>
      </w:r>
      <w:r w:rsidRPr="00107F57">
        <w:rPr>
          <w:i/>
          <w:sz w:val="20"/>
          <w:lang w:val="fr-FR"/>
        </w:rPr>
        <w:t>rappelant également</w:t>
      </w:r>
      <w:r w:rsidRPr="00107F57">
        <w:rPr>
          <w:sz w:val="20"/>
          <w:lang w:val="fr-FR"/>
        </w:rPr>
        <w:t xml:space="preserve"> les résolutions de l’UIP </w:t>
      </w:r>
      <w:r w:rsidR="008700A8">
        <w:rPr>
          <w:sz w:val="20"/>
          <w:lang w:val="fr-FR"/>
        </w:rPr>
        <w:t xml:space="preserve">intitulées </w:t>
      </w:r>
      <w:r w:rsidRPr="00107F57">
        <w:rPr>
          <w:i/>
          <w:sz w:val="20"/>
          <w:lang w:val="fr-FR"/>
        </w:rPr>
        <w:t>Les travailleurs migrants, la traite des êtres humains, la xénophobie et les droits de l’homme</w:t>
      </w:r>
      <w:r w:rsidRPr="00107F57">
        <w:rPr>
          <w:sz w:val="20"/>
          <w:lang w:val="fr-FR"/>
        </w:rPr>
        <w:t xml:space="preserve"> (adoptée à la 118</w:t>
      </w:r>
      <w:r w:rsidRPr="00107F57">
        <w:rPr>
          <w:sz w:val="20"/>
          <w:vertAlign w:val="superscript"/>
          <w:lang w:val="fr-FR"/>
        </w:rPr>
        <w:t>e</w:t>
      </w:r>
      <w:r w:rsidR="00107F57">
        <w:rPr>
          <w:sz w:val="20"/>
          <w:lang w:val="fr-FR"/>
        </w:rPr>
        <w:t> </w:t>
      </w:r>
      <w:r w:rsidRPr="00107F57">
        <w:rPr>
          <w:sz w:val="20"/>
          <w:lang w:val="fr-FR"/>
        </w:rPr>
        <w:t xml:space="preserve">Assemblée, Le Cap, avril 2008) et </w:t>
      </w:r>
      <w:r w:rsidRPr="00107F57">
        <w:rPr>
          <w:i/>
          <w:sz w:val="20"/>
          <w:lang w:val="fr-FR"/>
        </w:rPr>
        <w:t>Renforcer la coopération interparlementaire et la gouvernance en matière migratoire dans la perspective de l’adoption du Pacte mondial pour des migrations sûres, ordonnées et régulières</w:t>
      </w:r>
      <w:r w:rsidRPr="00107F57">
        <w:rPr>
          <w:sz w:val="20"/>
          <w:lang w:val="fr-FR"/>
        </w:rPr>
        <w:t xml:space="preserve"> (adoptée à la 139</w:t>
      </w:r>
      <w:r w:rsidRPr="00107F57">
        <w:rPr>
          <w:sz w:val="20"/>
          <w:vertAlign w:val="superscript"/>
          <w:lang w:val="fr-FR"/>
        </w:rPr>
        <w:t>e</w:t>
      </w:r>
      <w:r w:rsidR="001D77BA">
        <w:rPr>
          <w:sz w:val="20"/>
          <w:lang w:val="fr-FR"/>
        </w:rPr>
        <w:t> </w:t>
      </w:r>
      <w:r w:rsidRPr="00107F57">
        <w:rPr>
          <w:sz w:val="20"/>
          <w:lang w:val="fr-FR"/>
        </w:rPr>
        <w:t>Assemblée, Genève, octobre 2018),</w:t>
      </w:r>
    </w:p>
    <w:p w14:paraId="4E9649A6" w14:textId="77777777" w:rsidR="008311FC" w:rsidRPr="00107F57" w:rsidRDefault="008311FC" w:rsidP="006278CF">
      <w:pPr>
        <w:pStyle w:val="Default"/>
        <w:tabs>
          <w:tab w:val="left" w:pos="1134"/>
        </w:tabs>
        <w:rPr>
          <w:sz w:val="20"/>
          <w:szCs w:val="20"/>
          <w:lang w:val="fr-FR"/>
        </w:rPr>
      </w:pPr>
    </w:p>
    <w:p w14:paraId="76944FC6" w14:textId="77777777" w:rsidR="008311FC" w:rsidRPr="00107F57" w:rsidRDefault="008311FC" w:rsidP="006278CF">
      <w:pPr>
        <w:pStyle w:val="Text"/>
        <w:tabs>
          <w:tab w:val="left" w:pos="1134"/>
        </w:tabs>
        <w:spacing w:after="0" w:line="240" w:lineRule="auto"/>
        <w:rPr>
          <w:rFonts w:ascii="Arial" w:hAnsi="Arial" w:cs="Arial"/>
          <w:sz w:val="20"/>
          <w:szCs w:val="20"/>
          <w:lang w:bidi="he-IL"/>
        </w:rPr>
      </w:pPr>
      <w:r w:rsidRPr="00107F57">
        <w:rPr>
          <w:rFonts w:ascii="Arial" w:hAnsi="Arial"/>
          <w:sz w:val="20"/>
        </w:rPr>
        <w:t>4)</w:t>
      </w:r>
      <w:r w:rsidRPr="00107F57">
        <w:rPr>
          <w:rFonts w:ascii="Arial" w:hAnsi="Arial"/>
          <w:sz w:val="20"/>
        </w:rPr>
        <w:tab/>
      </w:r>
      <w:r w:rsidRPr="00107F57">
        <w:rPr>
          <w:rFonts w:ascii="Arial" w:hAnsi="Arial"/>
          <w:i/>
          <w:sz w:val="20"/>
        </w:rPr>
        <w:t>réaffirmant</w:t>
      </w:r>
      <w:r w:rsidRPr="00107F57">
        <w:rPr>
          <w:rFonts w:ascii="Arial" w:hAnsi="Arial"/>
          <w:sz w:val="20"/>
        </w:rPr>
        <w:t xml:space="preserve"> le droit souverain des États de déterminer, en conformité avec le droit international, leur politique migratoire nationale et leur prérogative de régir les migrations relevant de leur juridiction,</w:t>
      </w:r>
    </w:p>
    <w:p w14:paraId="32C56367" w14:textId="77777777" w:rsidR="008311FC" w:rsidRPr="00107F57" w:rsidRDefault="008311FC" w:rsidP="006278CF">
      <w:pPr>
        <w:pStyle w:val="Default"/>
        <w:tabs>
          <w:tab w:val="left" w:pos="1134"/>
        </w:tabs>
        <w:rPr>
          <w:sz w:val="20"/>
          <w:szCs w:val="20"/>
          <w:lang w:val="fr-FR"/>
        </w:rPr>
      </w:pPr>
    </w:p>
    <w:p w14:paraId="598345A7" w14:textId="11C54BC9" w:rsidR="008311FC" w:rsidRPr="00107F57" w:rsidRDefault="008311FC" w:rsidP="006278CF">
      <w:pPr>
        <w:pStyle w:val="Default"/>
        <w:tabs>
          <w:tab w:val="left" w:pos="1134"/>
        </w:tabs>
        <w:rPr>
          <w:sz w:val="20"/>
          <w:szCs w:val="20"/>
          <w:lang w:val="fr-FR"/>
        </w:rPr>
      </w:pPr>
      <w:r w:rsidRPr="00107F57">
        <w:rPr>
          <w:sz w:val="20"/>
          <w:lang w:val="fr-FR"/>
        </w:rPr>
        <w:t>5)</w:t>
      </w:r>
      <w:r w:rsidRPr="00107F57">
        <w:rPr>
          <w:sz w:val="20"/>
          <w:lang w:val="fr-FR"/>
        </w:rPr>
        <w:tab/>
      </w:r>
      <w:r w:rsidRPr="00107F57">
        <w:rPr>
          <w:i/>
          <w:sz w:val="20"/>
          <w:lang w:val="fr-FR"/>
        </w:rPr>
        <w:t>rappelant</w:t>
      </w:r>
      <w:r w:rsidRPr="00107F57">
        <w:rPr>
          <w:sz w:val="20"/>
          <w:lang w:val="fr-FR"/>
        </w:rPr>
        <w:t xml:space="preserve"> l’attaque militaire </w:t>
      </w:r>
      <w:r w:rsidR="002305E2" w:rsidRPr="00A52007">
        <w:rPr>
          <w:sz w:val="20"/>
          <w:lang w:val="fr-FR"/>
        </w:rPr>
        <w:t>[</w:t>
      </w:r>
      <w:r w:rsidRPr="00A52007">
        <w:rPr>
          <w:sz w:val="20"/>
          <w:lang w:val="fr-FR"/>
        </w:rPr>
        <w:t>de grande envergure</w:t>
      </w:r>
      <w:r w:rsidR="002305E2" w:rsidRPr="00A52007">
        <w:rPr>
          <w:sz w:val="20"/>
          <w:lang w:val="fr-FR"/>
        </w:rPr>
        <w:t>]</w:t>
      </w:r>
      <w:r w:rsidR="002305E2" w:rsidRPr="00A52007">
        <w:rPr>
          <w:rStyle w:val="Appelnotedebasdep"/>
          <w:sz w:val="20"/>
          <w:lang w:val="fr-FR"/>
        </w:rPr>
        <w:footnoteReference w:customMarkFollows="1" w:id="2"/>
        <w:t>*</w:t>
      </w:r>
      <w:r w:rsidRPr="00A52007">
        <w:rPr>
          <w:sz w:val="20"/>
          <w:lang w:val="fr-FR"/>
        </w:rPr>
        <w:t xml:space="preserve"> lancée</w:t>
      </w:r>
      <w:r w:rsidRPr="00107F57">
        <w:rPr>
          <w:sz w:val="20"/>
          <w:lang w:val="fr-FR"/>
        </w:rPr>
        <w:t xml:space="preserve"> par la Fédération de Russie le 24 février 2022 contre la nation souveraine de l’Ukraine et son peuple et la résolution de l’UIP </w:t>
      </w:r>
      <w:r w:rsidR="005323B4">
        <w:rPr>
          <w:sz w:val="20"/>
          <w:lang w:val="fr-FR"/>
        </w:rPr>
        <w:t xml:space="preserve">intitulée </w:t>
      </w:r>
      <w:r w:rsidRPr="00107F57">
        <w:rPr>
          <w:i/>
          <w:sz w:val="20"/>
          <w:lang w:val="fr-FR"/>
        </w:rPr>
        <w:t>Résolution pacifique de la guerre en Ukraine, dans le respect du droit international, de la Charte des Nations Unies et de l’intégrité territoriale</w:t>
      </w:r>
      <w:r w:rsidRPr="00107F57">
        <w:rPr>
          <w:sz w:val="20"/>
          <w:lang w:val="fr-FR"/>
        </w:rPr>
        <w:t xml:space="preserve"> (adoptée à la 144</w:t>
      </w:r>
      <w:r w:rsidRPr="00107F57">
        <w:rPr>
          <w:sz w:val="20"/>
          <w:vertAlign w:val="superscript"/>
          <w:lang w:val="fr-FR"/>
        </w:rPr>
        <w:t>e</w:t>
      </w:r>
      <w:r w:rsidRPr="00107F57">
        <w:rPr>
          <w:sz w:val="20"/>
          <w:lang w:val="fr-FR"/>
        </w:rPr>
        <w:t xml:space="preserve"> Assemblée, </w:t>
      </w:r>
      <w:proofErr w:type="spellStart"/>
      <w:r w:rsidRPr="00107F57">
        <w:rPr>
          <w:sz w:val="20"/>
          <w:lang w:val="fr-FR"/>
        </w:rPr>
        <w:t>Nusa</w:t>
      </w:r>
      <w:proofErr w:type="spellEnd"/>
      <w:r w:rsidRPr="00107F57">
        <w:rPr>
          <w:sz w:val="20"/>
          <w:lang w:val="fr-FR"/>
        </w:rPr>
        <w:t xml:space="preserve"> </w:t>
      </w:r>
      <w:proofErr w:type="spellStart"/>
      <w:r w:rsidRPr="00107F57">
        <w:rPr>
          <w:sz w:val="20"/>
          <w:lang w:val="fr-FR"/>
        </w:rPr>
        <w:t>Dua</w:t>
      </w:r>
      <w:proofErr w:type="spellEnd"/>
      <w:r w:rsidRPr="00107F57">
        <w:rPr>
          <w:sz w:val="20"/>
          <w:lang w:val="fr-FR"/>
        </w:rPr>
        <w:t>, mars 2022),</w:t>
      </w:r>
    </w:p>
    <w:p w14:paraId="1C13EC57" w14:textId="77777777" w:rsidR="008311FC" w:rsidRPr="00107F57" w:rsidRDefault="008311FC" w:rsidP="006278CF">
      <w:pPr>
        <w:pStyle w:val="Default"/>
        <w:tabs>
          <w:tab w:val="left" w:pos="1134"/>
        </w:tabs>
        <w:rPr>
          <w:sz w:val="20"/>
          <w:szCs w:val="20"/>
          <w:lang w:val="fr-FR"/>
        </w:rPr>
      </w:pPr>
    </w:p>
    <w:p w14:paraId="7E55B803" w14:textId="7EE688C9" w:rsidR="006B374E" w:rsidRPr="00107F57" w:rsidRDefault="008311FC" w:rsidP="006278CF">
      <w:pPr>
        <w:tabs>
          <w:tab w:val="left" w:pos="1134"/>
        </w:tabs>
        <w:rPr>
          <w:rFonts w:ascii="Arial" w:eastAsia="Times New Roman" w:hAnsi="Arial" w:cs="Arial"/>
          <w:sz w:val="20"/>
          <w:szCs w:val="20"/>
        </w:rPr>
        <w:sectPr w:rsidR="006B374E" w:rsidRPr="00107F57" w:rsidSect="00B01B94">
          <w:headerReference w:type="default" r:id="rId10"/>
          <w:footerReference w:type="default" r:id="rId11"/>
          <w:pgSz w:w="11907" w:h="16839" w:code="9"/>
          <w:pgMar w:top="1440" w:right="1440" w:bottom="1440" w:left="3119" w:header="708" w:footer="708" w:gutter="0"/>
          <w:cols w:space="708"/>
          <w:docGrid w:linePitch="360"/>
        </w:sectPr>
      </w:pPr>
      <w:r w:rsidRPr="00107F57">
        <w:rPr>
          <w:rFonts w:ascii="Arial" w:hAnsi="Arial"/>
          <w:color w:val="000000"/>
          <w:sz w:val="20"/>
        </w:rPr>
        <w:t>6)</w:t>
      </w:r>
      <w:r w:rsidRPr="00107F57">
        <w:rPr>
          <w:rFonts w:ascii="Arial" w:hAnsi="Arial"/>
          <w:i/>
          <w:color w:val="000000"/>
          <w:sz w:val="20"/>
        </w:rPr>
        <w:tab/>
        <w:t>soulignant</w:t>
      </w:r>
      <w:r w:rsidRPr="00107F57">
        <w:rPr>
          <w:rFonts w:ascii="Arial" w:hAnsi="Arial"/>
          <w:color w:val="000000"/>
          <w:sz w:val="20"/>
        </w:rPr>
        <w:t xml:space="preserve"> que la pauvreté, les changements climatiques, l</w:t>
      </w:r>
      <w:r w:rsidRPr="00107F57">
        <w:rPr>
          <w:rFonts w:ascii="Arial" w:hAnsi="Arial" w:cs="Arial"/>
          <w:color w:val="000000"/>
          <w:sz w:val="20"/>
        </w:rPr>
        <w:t>’</w:t>
      </w:r>
      <w:r w:rsidR="005323B4" w:rsidRPr="00107F57">
        <w:rPr>
          <w:rFonts w:ascii="Arial" w:hAnsi="Arial"/>
          <w:color w:val="000000"/>
          <w:sz w:val="20"/>
        </w:rPr>
        <w:t>iniquité</w:t>
      </w:r>
      <w:r w:rsidRPr="00107F57">
        <w:rPr>
          <w:rFonts w:ascii="Arial" w:hAnsi="Arial"/>
          <w:color w:val="000000"/>
          <w:sz w:val="20"/>
        </w:rPr>
        <w:t xml:space="preserve"> des structures socio-économiques et le genre ont une incidence déterminante sur les migrations, que la paix, la sécurité et le développement sont étroitement liés, et que les personnes en déplacement, quel que soit leur statut juridique, ont le droit de jouir pleinement de leurs droits fondamentaux, tels qu’ils sont énoncés dans les traités et pactes internationaux pertinents,</w:t>
      </w:r>
    </w:p>
    <w:p w14:paraId="1657922B" w14:textId="77777777" w:rsidR="008311FC" w:rsidRPr="00107F57" w:rsidRDefault="008311FC" w:rsidP="008311FC">
      <w:pPr>
        <w:pStyle w:val="Default"/>
        <w:tabs>
          <w:tab w:val="left" w:pos="1134"/>
        </w:tabs>
        <w:rPr>
          <w:sz w:val="20"/>
          <w:szCs w:val="20"/>
          <w:lang w:val="fr-FR"/>
        </w:rPr>
      </w:pPr>
      <w:r w:rsidRPr="00107F57">
        <w:rPr>
          <w:sz w:val="20"/>
          <w:lang w:val="fr-FR"/>
        </w:rPr>
        <w:lastRenderedPageBreak/>
        <w:t>7)</w:t>
      </w:r>
      <w:r w:rsidRPr="00107F57">
        <w:rPr>
          <w:sz w:val="20"/>
          <w:lang w:val="fr-FR"/>
        </w:rPr>
        <w:tab/>
      </w:r>
      <w:r w:rsidRPr="00107F57">
        <w:rPr>
          <w:i/>
          <w:sz w:val="20"/>
          <w:lang w:val="fr-FR"/>
        </w:rPr>
        <w:t>prenant acte</w:t>
      </w:r>
      <w:r w:rsidRPr="00107F57">
        <w:rPr>
          <w:sz w:val="20"/>
          <w:lang w:val="fr-FR"/>
        </w:rPr>
        <w:t xml:space="preserve"> du climat d’insécurité qui règne actuellement dans diverses régions du monde et qui contraint les populations à fuir et à chercher refuge dans d’autres pays,</w:t>
      </w:r>
    </w:p>
    <w:p w14:paraId="388F3132" w14:textId="77777777" w:rsidR="008311FC" w:rsidRPr="00107F57" w:rsidRDefault="008311FC" w:rsidP="008311FC">
      <w:pPr>
        <w:pStyle w:val="Default"/>
        <w:tabs>
          <w:tab w:val="left" w:pos="1134"/>
        </w:tabs>
        <w:rPr>
          <w:sz w:val="20"/>
          <w:szCs w:val="20"/>
          <w:lang w:val="fr-FR"/>
        </w:rPr>
      </w:pPr>
    </w:p>
    <w:p w14:paraId="685F2021" w14:textId="0A2CDD56" w:rsidR="008311FC" w:rsidRPr="00107F57" w:rsidRDefault="008311FC" w:rsidP="008311FC">
      <w:pPr>
        <w:pStyle w:val="Default"/>
        <w:tabs>
          <w:tab w:val="left" w:pos="1134"/>
        </w:tabs>
        <w:rPr>
          <w:sz w:val="20"/>
          <w:szCs w:val="20"/>
          <w:lang w:val="fr-FR"/>
        </w:rPr>
      </w:pPr>
      <w:r w:rsidRPr="00107F57">
        <w:rPr>
          <w:sz w:val="20"/>
          <w:lang w:val="fr-FR"/>
        </w:rPr>
        <w:t xml:space="preserve">8) </w:t>
      </w:r>
      <w:r w:rsidRPr="00107F57">
        <w:rPr>
          <w:sz w:val="20"/>
          <w:lang w:val="fr-FR"/>
        </w:rPr>
        <w:tab/>
      </w:r>
      <w:r w:rsidRPr="00107F57">
        <w:rPr>
          <w:i/>
          <w:sz w:val="20"/>
          <w:lang w:val="fr-FR"/>
        </w:rPr>
        <w:t>affirmant</w:t>
      </w:r>
      <w:r w:rsidRPr="00107F57">
        <w:rPr>
          <w:sz w:val="20"/>
          <w:lang w:val="fr-FR"/>
        </w:rPr>
        <w:t xml:space="preserve"> que les migrations, les déplacements forcés et les flux de réfugiés résultent des conditions socio-économiques, politiques et sécuritaires qui prévalent dans les pays d’origine, ainsi que des effets des changements climatiques, et que la coopération internationale est indispensable pour remédier à ces causes structurelles qui engendrent les migrations,</w:t>
      </w:r>
    </w:p>
    <w:p w14:paraId="24609171" w14:textId="77777777" w:rsidR="008311FC" w:rsidRPr="00107F57" w:rsidRDefault="008311FC" w:rsidP="008311FC">
      <w:pPr>
        <w:pStyle w:val="Default"/>
        <w:tabs>
          <w:tab w:val="left" w:pos="1134"/>
        </w:tabs>
        <w:rPr>
          <w:sz w:val="20"/>
          <w:szCs w:val="20"/>
          <w:lang w:val="fr-FR"/>
        </w:rPr>
      </w:pPr>
    </w:p>
    <w:p w14:paraId="27B874C5" w14:textId="77777777" w:rsidR="008311FC" w:rsidRPr="00107F57" w:rsidRDefault="008311FC" w:rsidP="008311FC">
      <w:pPr>
        <w:pStyle w:val="Default"/>
        <w:tabs>
          <w:tab w:val="left" w:pos="1134"/>
        </w:tabs>
        <w:rPr>
          <w:sz w:val="20"/>
          <w:szCs w:val="20"/>
          <w:lang w:val="fr-FR"/>
        </w:rPr>
      </w:pPr>
      <w:r w:rsidRPr="00107F57">
        <w:rPr>
          <w:sz w:val="20"/>
          <w:lang w:val="fr-FR"/>
        </w:rPr>
        <w:t>9)</w:t>
      </w:r>
      <w:r w:rsidRPr="00107F57">
        <w:rPr>
          <w:sz w:val="20"/>
          <w:lang w:val="fr-FR"/>
        </w:rPr>
        <w:tab/>
      </w:r>
      <w:r w:rsidRPr="00107F57">
        <w:rPr>
          <w:i/>
          <w:sz w:val="20"/>
          <w:lang w:val="fr-FR"/>
        </w:rPr>
        <w:t>condamnant</w:t>
      </w:r>
      <w:r w:rsidRPr="00107F57">
        <w:rPr>
          <w:sz w:val="20"/>
          <w:lang w:val="fr-FR"/>
        </w:rPr>
        <w:t xml:space="preserve"> </w:t>
      </w:r>
      <w:r w:rsidRPr="004F19DE">
        <w:rPr>
          <w:i/>
          <w:iCs/>
          <w:sz w:val="20"/>
          <w:lang w:val="fr-FR"/>
        </w:rPr>
        <w:t>avec la plus grande fermeté</w:t>
      </w:r>
      <w:r w:rsidRPr="00107F57">
        <w:rPr>
          <w:sz w:val="20"/>
          <w:lang w:val="fr-FR"/>
        </w:rPr>
        <w:t xml:space="preserve"> les trafiquants d’êtres humains et les passeurs criminels à travers le monde qui profitent de la vulnérabilité des migrants et des réfugiés et exploitent ces groupes dans leur propre intérêt,</w:t>
      </w:r>
    </w:p>
    <w:p w14:paraId="6A645F70" w14:textId="77777777" w:rsidR="008311FC" w:rsidRPr="00107F57" w:rsidRDefault="008311FC" w:rsidP="008311FC">
      <w:pPr>
        <w:pStyle w:val="Default"/>
        <w:tabs>
          <w:tab w:val="left" w:pos="1134"/>
        </w:tabs>
        <w:rPr>
          <w:sz w:val="20"/>
          <w:szCs w:val="20"/>
          <w:lang w:val="fr-FR"/>
        </w:rPr>
      </w:pPr>
    </w:p>
    <w:p w14:paraId="27AE3C88" w14:textId="77777777" w:rsidR="008311FC" w:rsidRPr="00107F57" w:rsidRDefault="008311FC" w:rsidP="008311FC">
      <w:pPr>
        <w:pStyle w:val="paragraph"/>
        <w:tabs>
          <w:tab w:val="left" w:pos="1134"/>
        </w:tabs>
        <w:spacing w:before="0" w:beforeAutospacing="0" w:after="0" w:afterAutospacing="0"/>
        <w:textAlignment w:val="baseline"/>
        <w:rPr>
          <w:rStyle w:val="normaltextrun"/>
          <w:lang w:val="fr-FR"/>
        </w:rPr>
      </w:pPr>
      <w:r w:rsidRPr="00107F57">
        <w:rPr>
          <w:rStyle w:val="normaltextrun"/>
          <w:lang w:val="fr-FR" w:eastAsia="fr-FR"/>
        </w:rPr>
        <w:t>10)</w:t>
      </w:r>
      <w:r w:rsidRPr="00107F57">
        <w:rPr>
          <w:rStyle w:val="normaltextrun"/>
          <w:lang w:val="fr-FR" w:eastAsia="fr-FR"/>
        </w:rPr>
        <w:tab/>
      </w:r>
      <w:r w:rsidRPr="00107F57">
        <w:rPr>
          <w:rStyle w:val="normaltextrun"/>
          <w:i/>
          <w:lang w:val="fr-FR" w:eastAsia="fr-FR"/>
        </w:rPr>
        <w:t>constatant avec vive préoccupation</w:t>
      </w:r>
      <w:r w:rsidRPr="00107F57">
        <w:rPr>
          <w:rStyle w:val="normaltextrun"/>
          <w:lang w:val="fr-FR" w:eastAsia="fr-FR"/>
        </w:rPr>
        <w:t xml:space="preserve"> une tendance à l’exploitation des migrants vulnérables à des fins politiques partout dans le monde,</w:t>
      </w:r>
    </w:p>
    <w:p w14:paraId="6254F603" w14:textId="77777777" w:rsidR="008311FC" w:rsidRPr="00107F57" w:rsidRDefault="008311FC" w:rsidP="008311FC">
      <w:pPr>
        <w:pStyle w:val="paragraph"/>
        <w:tabs>
          <w:tab w:val="left" w:pos="1134"/>
        </w:tabs>
        <w:spacing w:before="0" w:beforeAutospacing="0" w:after="0" w:afterAutospacing="0"/>
        <w:textAlignment w:val="baseline"/>
        <w:rPr>
          <w:rStyle w:val="normaltextrun"/>
          <w:szCs w:val="20"/>
          <w:lang w:val="fr-FR"/>
        </w:rPr>
      </w:pPr>
    </w:p>
    <w:p w14:paraId="706EAB4D" w14:textId="5BBEDCBF" w:rsidR="008311FC" w:rsidRPr="00107F57" w:rsidRDefault="008311FC" w:rsidP="008311FC">
      <w:pPr>
        <w:pStyle w:val="paragraph"/>
        <w:tabs>
          <w:tab w:val="left" w:pos="1134"/>
        </w:tabs>
        <w:spacing w:before="0" w:beforeAutospacing="0" w:after="0" w:afterAutospacing="0"/>
        <w:textAlignment w:val="baseline"/>
        <w:rPr>
          <w:rStyle w:val="normaltextrun"/>
          <w:szCs w:val="20"/>
          <w:lang w:val="fr-FR"/>
        </w:rPr>
      </w:pPr>
      <w:r w:rsidRPr="00107F57">
        <w:rPr>
          <w:rStyle w:val="normaltextrun"/>
          <w:lang w:val="fr-FR" w:eastAsia="fr-FR"/>
        </w:rPr>
        <w:t>11)</w:t>
      </w:r>
      <w:r w:rsidRPr="00107F57">
        <w:rPr>
          <w:rStyle w:val="normaltextrun"/>
          <w:lang w:val="fr-FR" w:eastAsia="fr-FR"/>
        </w:rPr>
        <w:tab/>
      </w:r>
      <w:r w:rsidRPr="00107F57">
        <w:rPr>
          <w:rStyle w:val="normaltextrun"/>
          <w:i/>
          <w:lang w:val="fr-FR" w:eastAsia="fr-FR"/>
        </w:rPr>
        <w:t xml:space="preserve">regrettant et </w:t>
      </w:r>
      <w:r w:rsidR="00415523">
        <w:rPr>
          <w:rStyle w:val="normaltextrun"/>
          <w:i/>
          <w:lang w:val="fr-FR" w:eastAsia="fr-FR"/>
        </w:rPr>
        <w:t>condamn</w:t>
      </w:r>
      <w:r w:rsidRPr="00107F57">
        <w:rPr>
          <w:rStyle w:val="normaltextrun"/>
          <w:i/>
          <w:lang w:val="fr-FR" w:eastAsia="fr-FR"/>
        </w:rPr>
        <w:t>ant</w:t>
      </w:r>
      <w:r w:rsidRPr="00107F57">
        <w:rPr>
          <w:rStyle w:val="normaltextrun"/>
          <w:lang w:val="fr-FR" w:eastAsia="fr-FR"/>
        </w:rPr>
        <w:t xml:space="preserve"> les décès tragiques de réfugiés et de migrants victimes de trafic en Méditerranée, dans la Manche et en Asie centrale, ainsi qu’au Sahel, au Maghreb et en Asie du Sud et du Sud-Est,</w:t>
      </w:r>
    </w:p>
    <w:p w14:paraId="60AE9D7C" w14:textId="77777777" w:rsidR="008311FC" w:rsidRPr="00107F57" w:rsidRDefault="008311FC" w:rsidP="008311FC">
      <w:pPr>
        <w:pStyle w:val="paragraph"/>
        <w:tabs>
          <w:tab w:val="left" w:pos="1134"/>
        </w:tabs>
        <w:spacing w:before="0" w:beforeAutospacing="0" w:after="0" w:afterAutospacing="0"/>
        <w:textAlignment w:val="baseline"/>
        <w:rPr>
          <w:rStyle w:val="normaltextrun"/>
          <w:szCs w:val="20"/>
          <w:lang w:val="fr-FR"/>
        </w:rPr>
      </w:pPr>
    </w:p>
    <w:p w14:paraId="25DC8945" w14:textId="77777777" w:rsidR="008311FC" w:rsidRPr="00107F57" w:rsidRDefault="008311FC" w:rsidP="008311FC">
      <w:pPr>
        <w:pStyle w:val="Default"/>
        <w:tabs>
          <w:tab w:val="left" w:pos="1134"/>
        </w:tabs>
        <w:spacing w:after="174"/>
        <w:rPr>
          <w:lang w:val="fr-FR"/>
        </w:rPr>
      </w:pPr>
      <w:r w:rsidRPr="00107F57">
        <w:rPr>
          <w:sz w:val="20"/>
          <w:lang w:val="fr-FR"/>
        </w:rPr>
        <w:t>12)</w:t>
      </w:r>
      <w:r w:rsidRPr="00107F57">
        <w:rPr>
          <w:sz w:val="20"/>
          <w:lang w:val="fr-FR"/>
        </w:rPr>
        <w:tab/>
      </w:r>
      <w:r w:rsidRPr="00107F57">
        <w:rPr>
          <w:i/>
          <w:sz w:val="20"/>
          <w:lang w:val="fr-FR"/>
        </w:rPr>
        <w:t>soucieuse de garantir</w:t>
      </w:r>
      <w:r w:rsidRPr="00107F57">
        <w:rPr>
          <w:sz w:val="20"/>
          <w:lang w:val="fr-FR"/>
        </w:rPr>
        <w:t xml:space="preserve"> les droits des réfugiés énoncés dans la Convention de 1951 relative au statut des réfugiés et dans son Protocole de 1967, </w:t>
      </w:r>
    </w:p>
    <w:p w14:paraId="188AF323" w14:textId="77777777" w:rsidR="008311FC" w:rsidRPr="00107F57" w:rsidRDefault="008311FC" w:rsidP="008311FC">
      <w:pPr>
        <w:pStyle w:val="Default"/>
        <w:tabs>
          <w:tab w:val="left" w:pos="1134"/>
        </w:tabs>
        <w:rPr>
          <w:sz w:val="20"/>
          <w:szCs w:val="20"/>
          <w:lang w:val="fr-FR"/>
        </w:rPr>
      </w:pPr>
      <w:r w:rsidRPr="00107F57">
        <w:rPr>
          <w:sz w:val="20"/>
          <w:lang w:val="fr-FR"/>
        </w:rPr>
        <w:t>13)</w:t>
      </w:r>
      <w:r w:rsidRPr="00107F57">
        <w:rPr>
          <w:sz w:val="20"/>
          <w:lang w:val="fr-FR"/>
        </w:rPr>
        <w:tab/>
      </w:r>
      <w:r w:rsidRPr="00107F57">
        <w:rPr>
          <w:i/>
          <w:sz w:val="20"/>
          <w:lang w:val="fr-FR"/>
        </w:rPr>
        <w:t>réaffirmant</w:t>
      </w:r>
      <w:r w:rsidRPr="00107F57">
        <w:rPr>
          <w:sz w:val="20"/>
          <w:lang w:val="fr-FR"/>
        </w:rPr>
        <w:t xml:space="preserve"> les objectifs et principes de la Charte des Nations Unies, de la Déclaration universelle des droits de l’homme et des Conventions de Genève, ainsi que les valeurs et principes de l’Union interparlementaire,</w:t>
      </w:r>
    </w:p>
    <w:p w14:paraId="259E3BBD" w14:textId="77777777" w:rsidR="008311FC" w:rsidRPr="00107F57" w:rsidRDefault="008311FC" w:rsidP="008311FC">
      <w:pPr>
        <w:pStyle w:val="Default"/>
        <w:tabs>
          <w:tab w:val="left" w:pos="1134"/>
        </w:tabs>
        <w:rPr>
          <w:sz w:val="20"/>
          <w:szCs w:val="20"/>
          <w:lang w:val="fr-FR"/>
        </w:rPr>
      </w:pPr>
    </w:p>
    <w:p w14:paraId="42669A13" w14:textId="36D64499" w:rsidR="008311FC" w:rsidRPr="00107F57" w:rsidRDefault="008311FC" w:rsidP="008311FC">
      <w:pPr>
        <w:pStyle w:val="paragraph"/>
        <w:tabs>
          <w:tab w:val="left" w:pos="1134"/>
        </w:tabs>
        <w:spacing w:before="0" w:beforeAutospacing="0" w:after="0" w:afterAutospacing="0"/>
        <w:textAlignment w:val="baseline"/>
        <w:rPr>
          <w:rStyle w:val="normaltextrun"/>
          <w:lang w:val="fr-FR"/>
        </w:rPr>
      </w:pPr>
      <w:r w:rsidRPr="00107F57">
        <w:rPr>
          <w:rStyle w:val="normaltextrun"/>
          <w:lang w:val="fr-FR" w:eastAsia="fr-FR"/>
        </w:rPr>
        <w:t>14)</w:t>
      </w:r>
      <w:r w:rsidRPr="00107F57">
        <w:rPr>
          <w:rStyle w:val="normaltextrun"/>
          <w:lang w:val="fr-FR" w:eastAsia="fr-FR"/>
        </w:rPr>
        <w:tab/>
      </w:r>
      <w:r w:rsidRPr="00107F57">
        <w:rPr>
          <w:rStyle w:val="normaltextrun"/>
          <w:i/>
          <w:lang w:val="fr-FR" w:eastAsia="fr-FR"/>
        </w:rPr>
        <w:t>rappelant</w:t>
      </w:r>
      <w:r w:rsidRPr="00107F57">
        <w:rPr>
          <w:rStyle w:val="normaltextrun"/>
          <w:lang w:val="fr-FR" w:eastAsia="fr-FR"/>
        </w:rPr>
        <w:t xml:space="preserve"> les diverses résolutions du Conseil de sécurité de l’ONU qui condamnent dans les termes les plus énergiques toute forme de traite et le trafic </w:t>
      </w:r>
      <w:r w:rsidR="00CB15F2">
        <w:rPr>
          <w:rStyle w:val="normaltextrun"/>
          <w:lang w:val="fr-FR" w:eastAsia="fr-FR"/>
        </w:rPr>
        <w:t xml:space="preserve">illicite </w:t>
      </w:r>
      <w:r w:rsidRPr="00107F57">
        <w:rPr>
          <w:rStyle w:val="normaltextrun"/>
          <w:lang w:val="fr-FR" w:eastAsia="fr-FR"/>
        </w:rPr>
        <w:t>d</w:t>
      </w:r>
      <w:r w:rsidR="00246DB1">
        <w:rPr>
          <w:rStyle w:val="normaltextrun"/>
          <w:lang w:val="fr-FR" w:eastAsia="fr-FR"/>
        </w:rPr>
        <w:t>'</w:t>
      </w:r>
      <w:r w:rsidRPr="00107F57">
        <w:rPr>
          <w:rStyle w:val="normaltextrun"/>
          <w:lang w:val="fr-FR" w:eastAsia="fr-FR"/>
        </w:rPr>
        <w:t xml:space="preserve">êtres humains, et saluant le travail effectué conjointement par l’Organisation internationale pour les migrations et l’Office des Nations Unies contre la drogue et le crime dans le cadre de l’initiative financée par l’Union européenne </w:t>
      </w:r>
      <w:r w:rsidR="00A62CBC">
        <w:rPr>
          <w:rStyle w:val="normaltextrun"/>
          <w:lang w:val="fr-FR" w:eastAsia="fr-FR"/>
        </w:rPr>
        <w:t xml:space="preserve">intitulée </w:t>
      </w:r>
      <w:r w:rsidR="00A62CBC" w:rsidRPr="00ED27E7">
        <w:rPr>
          <w:rStyle w:val="normaltextrun"/>
          <w:i/>
          <w:iCs/>
          <w:lang w:val="fr-FR" w:eastAsia="fr-FR"/>
        </w:rPr>
        <w:t xml:space="preserve">Action mondiale </w:t>
      </w:r>
      <w:r w:rsidRPr="00ED27E7">
        <w:rPr>
          <w:rStyle w:val="normaltextrun"/>
          <w:i/>
          <w:iCs/>
          <w:lang w:val="fr-FR" w:eastAsia="fr-FR"/>
        </w:rPr>
        <w:t xml:space="preserve">contre la traite des personnes et le trafic </w:t>
      </w:r>
      <w:r w:rsidR="00A62CBC" w:rsidRPr="00ED27E7">
        <w:rPr>
          <w:rStyle w:val="normaltextrun"/>
          <w:i/>
          <w:iCs/>
          <w:lang w:val="fr-FR" w:eastAsia="fr-FR"/>
        </w:rPr>
        <w:t xml:space="preserve">illicite </w:t>
      </w:r>
      <w:r w:rsidRPr="00ED27E7">
        <w:rPr>
          <w:rStyle w:val="normaltextrun"/>
          <w:i/>
          <w:iCs/>
          <w:lang w:val="fr-FR" w:eastAsia="fr-FR"/>
        </w:rPr>
        <w:t>de migrants</w:t>
      </w:r>
      <w:r w:rsidRPr="00107F57">
        <w:rPr>
          <w:rStyle w:val="normaltextrun"/>
          <w:lang w:val="fr-FR" w:eastAsia="fr-FR"/>
        </w:rPr>
        <w:t xml:space="preserve"> en Asie et au Moyen-Orient,</w:t>
      </w:r>
    </w:p>
    <w:p w14:paraId="7531B1A0" w14:textId="77777777" w:rsidR="008311FC" w:rsidRPr="00107F57" w:rsidRDefault="008311FC" w:rsidP="008311FC">
      <w:pPr>
        <w:pStyle w:val="Default"/>
        <w:tabs>
          <w:tab w:val="left" w:pos="1134"/>
        </w:tabs>
        <w:ind w:left="1134" w:hanging="567"/>
        <w:rPr>
          <w:lang w:val="fr-FR"/>
        </w:rPr>
      </w:pPr>
    </w:p>
    <w:p w14:paraId="0E784874" w14:textId="4F0EB75D" w:rsidR="008311FC" w:rsidRPr="00107F57" w:rsidRDefault="008311FC" w:rsidP="008311FC">
      <w:pPr>
        <w:pStyle w:val="Default"/>
        <w:tabs>
          <w:tab w:val="left" w:pos="1134"/>
        </w:tabs>
        <w:ind w:left="1134" w:hanging="567"/>
        <w:rPr>
          <w:sz w:val="20"/>
          <w:szCs w:val="20"/>
          <w:lang w:val="fr-FR"/>
        </w:rPr>
      </w:pPr>
      <w:r w:rsidRPr="00107F57">
        <w:rPr>
          <w:sz w:val="20"/>
          <w:lang w:val="fr-FR"/>
        </w:rPr>
        <w:t>1.</w:t>
      </w:r>
      <w:r w:rsidRPr="00107F57">
        <w:rPr>
          <w:sz w:val="20"/>
          <w:lang w:val="fr-FR"/>
        </w:rPr>
        <w:tab/>
      </w:r>
      <w:r w:rsidRPr="00107F57">
        <w:rPr>
          <w:i/>
          <w:sz w:val="20"/>
          <w:lang w:val="fr-FR"/>
        </w:rPr>
        <w:t>demande</w:t>
      </w:r>
      <w:r w:rsidRPr="00107F57">
        <w:rPr>
          <w:sz w:val="20"/>
          <w:lang w:val="fr-FR"/>
        </w:rPr>
        <w:t xml:space="preserve"> que l’ONU inscrive la question de la traite des êtres humains et du trafic </w:t>
      </w:r>
      <w:r w:rsidR="009D4EAC">
        <w:rPr>
          <w:sz w:val="20"/>
          <w:lang w:val="fr-FR"/>
        </w:rPr>
        <w:t xml:space="preserve">illicite </w:t>
      </w:r>
      <w:r w:rsidRPr="00107F57">
        <w:rPr>
          <w:sz w:val="20"/>
          <w:lang w:val="fr-FR"/>
        </w:rPr>
        <w:t>de migrants à l’ordre du jour de la prochaine Assemblée générale des Nations Unies ;</w:t>
      </w:r>
    </w:p>
    <w:p w14:paraId="37805166" w14:textId="77777777" w:rsidR="008311FC" w:rsidRPr="00107F57" w:rsidRDefault="008311FC" w:rsidP="008311FC">
      <w:pPr>
        <w:pStyle w:val="Default"/>
        <w:tabs>
          <w:tab w:val="left" w:pos="1134"/>
        </w:tabs>
        <w:ind w:left="1134" w:hanging="567"/>
        <w:rPr>
          <w:sz w:val="20"/>
          <w:szCs w:val="20"/>
          <w:lang w:val="fr-FR"/>
        </w:rPr>
      </w:pPr>
    </w:p>
    <w:p w14:paraId="50BF85ED" w14:textId="77777777" w:rsidR="008311FC" w:rsidRPr="00107F57" w:rsidRDefault="008311FC" w:rsidP="008311FC">
      <w:pPr>
        <w:pStyle w:val="Default"/>
        <w:tabs>
          <w:tab w:val="left" w:pos="1134"/>
        </w:tabs>
        <w:ind w:left="1134" w:hanging="567"/>
        <w:rPr>
          <w:sz w:val="20"/>
          <w:szCs w:val="20"/>
          <w:lang w:val="fr-FR"/>
        </w:rPr>
      </w:pPr>
      <w:r w:rsidRPr="00107F57">
        <w:rPr>
          <w:sz w:val="20"/>
          <w:lang w:val="fr-FR"/>
        </w:rPr>
        <w:t>2.</w:t>
      </w:r>
      <w:r w:rsidRPr="00107F57">
        <w:rPr>
          <w:sz w:val="20"/>
          <w:lang w:val="fr-FR"/>
        </w:rPr>
        <w:tab/>
      </w:r>
      <w:r w:rsidRPr="00107F57">
        <w:rPr>
          <w:i/>
          <w:sz w:val="20"/>
          <w:lang w:val="fr-FR"/>
        </w:rPr>
        <w:t>exhorte</w:t>
      </w:r>
      <w:r w:rsidRPr="00107F57">
        <w:rPr>
          <w:sz w:val="20"/>
          <w:lang w:val="fr-FR"/>
        </w:rPr>
        <w:t xml:space="preserve"> les États et leurs parlements respectifs à mettre pleinement à profit le Pacte mondial sur les migrations en l’utilisant comme feuille de route en vue d’améliorer la coopération internationale et la gouvernance des migrations ;</w:t>
      </w:r>
    </w:p>
    <w:p w14:paraId="5E81C710" w14:textId="77777777" w:rsidR="008311FC" w:rsidRPr="00107F57" w:rsidRDefault="008311FC" w:rsidP="008311FC">
      <w:pPr>
        <w:pStyle w:val="Default"/>
        <w:tabs>
          <w:tab w:val="left" w:pos="1134"/>
        </w:tabs>
        <w:ind w:left="1134" w:hanging="567"/>
        <w:rPr>
          <w:sz w:val="20"/>
          <w:szCs w:val="20"/>
          <w:lang w:val="fr-FR"/>
        </w:rPr>
      </w:pPr>
    </w:p>
    <w:p w14:paraId="33BE9538" w14:textId="77777777" w:rsidR="008311FC" w:rsidRPr="00107F57" w:rsidRDefault="008311FC" w:rsidP="008311FC">
      <w:pPr>
        <w:pStyle w:val="Default"/>
        <w:tabs>
          <w:tab w:val="left" w:pos="1134"/>
        </w:tabs>
        <w:ind w:left="1134" w:hanging="567"/>
        <w:rPr>
          <w:sz w:val="20"/>
          <w:szCs w:val="20"/>
          <w:lang w:val="fr-FR"/>
        </w:rPr>
      </w:pPr>
      <w:r w:rsidRPr="00107F57">
        <w:rPr>
          <w:sz w:val="20"/>
          <w:lang w:val="fr-FR"/>
        </w:rPr>
        <w:t>3.</w:t>
      </w:r>
      <w:r w:rsidRPr="00107F57">
        <w:rPr>
          <w:sz w:val="20"/>
          <w:lang w:val="fr-FR"/>
        </w:rPr>
        <w:tab/>
      </w:r>
      <w:r w:rsidRPr="00107F57">
        <w:rPr>
          <w:i/>
          <w:sz w:val="20"/>
          <w:lang w:val="fr-FR"/>
        </w:rPr>
        <w:t>invite</w:t>
      </w:r>
      <w:r w:rsidRPr="00107F57">
        <w:rPr>
          <w:sz w:val="20"/>
          <w:lang w:val="fr-FR"/>
        </w:rPr>
        <w:t xml:space="preserve"> les parlements à promouvoir l’accès des citoyens à des informations complètes et actualisées à propos des possibilités, des limites, des risques et des droits en cas de migration, afin de permettre aux candidats au départ de faire des choix en connaissance de cause ;</w:t>
      </w:r>
    </w:p>
    <w:p w14:paraId="316F481B" w14:textId="77777777" w:rsidR="008311FC" w:rsidRPr="00107F57" w:rsidRDefault="008311FC" w:rsidP="008311FC">
      <w:pPr>
        <w:pStyle w:val="Default"/>
        <w:tabs>
          <w:tab w:val="left" w:pos="1134"/>
        </w:tabs>
        <w:ind w:left="1134" w:hanging="567"/>
        <w:rPr>
          <w:sz w:val="20"/>
          <w:szCs w:val="20"/>
          <w:lang w:val="fr-FR"/>
        </w:rPr>
      </w:pPr>
    </w:p>
    <w:p w14:paraId="152E0795" w14:textId="44277902" w:rsidR="008311FC" w:rsidRPr="00107F57" w:rsidRDefault="008311FC" w:rsidP="008311FC">
      <w:pPr>
        <w:pStyle w:val="Default"/>
        <w:tabs>
          <w:tab w:val="left" w:pos="1134"/>
        </w:tabs>
        <w:ind w:left="1134" w:hanging="567"/>
        <w:rPr>
          <w:iCs/>
          <w:sz w:val="20"/>
          <w:szCs w:val="20"/>
          <w:lang w:val="fr-FR"/>
        </w:rPr>
      </w:pPr>
      <w:r w:rsidRPr="00107F57">
        <w:rPr>
          <w:sz w:val="20"/>
          <w:lang w:val="fr-FR"/>
        </w:rPr>
        <w:t>4.</w:t>
      </w:r>
      <w:r w:rsidRPr="00107F57">
        <w:rPr>
          <w:sz w:val="20"/>
          <w:lang w:val="fr-FR"/>
        </w:rPr>
        <w:tab/>
      </w:r>
      <w:r w:rsidRPr="00107F57">
        <w:rPr>
          <w:i/>
          <w:sz w:val="20"/>
          <w:lang w:val="fr-FR"/>
        </w:rPr>
        <w:t>prie instamment</w:t>
      </w:r>
      <w:r w:rsidRPr="00107F57">
        <w:rPr>
          <w:sz w:val="20"/>
          <w:lang w:val="fr-FR"/>
        </w:rPr>
        <w:t xml:space="preserve"> les parlements, en coopération avec </w:t>
      </w:r>
      <w:r w:rsidR="00C64013">
        <w:rPr>
          <w:sz w:val="20"/>
          <w:lang w:val="fr-FR"/>
        </w:rPr>
        <w:t>leurs gouvernements</w:t>
      </w:r>
      <w:r w:rsidRPr="00107F57">
        <w:rPr>
          <w:sz w:val="20"/>
          <w:lang w:val="fr-FR"/>
        </w:rPr>
        <w:t>, d’élargir les voies légales de migration afin de faciliter la mobilité de la main-d’œuvre et la formation professionnelle, le regroupement familial ainsi que la migration pour des motifs tels que les conflits armés, la violence sexiste, les catastrophes naturelles et les changements climatiques ;</w:t>
      </w:r>
    </w:p>
    <w:p w14:paraId="21E59574" w14:textId="77777777" w:rsidR="008311FC" w:rsidRPr="00107F57" w:rsidRDefault="008311FC" w:rsidP="008311FC">
      <w:pPr>
        <w:pStyle w:val="Default"/>
        <w:tabs>
          <w:tab w:val="left" w:pos="1134"/>
        </w:tabs>
        <w:ind w:left="1134" w:hanging="567"/>
        <w:rPr>
          <w:sz w:val="20"/>
          <w:szCs w:val="20"/>
          <w:lang w:val="fr-FR"/>
        </w:rPr>
      </w:pPr>
    </w:p>
    <w:p w14:paraId="7FA35110"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5.</w:t>
      </w:r>
      <w:r w:rsidRPr="00107F57">
        <w:rPr>
          <w:rFonts w:ascii="Arial" w:hAnsi="Arial"/>
          <w:sz w:val="20"/>
        </w:rPr>
        <w:tab/>
      </w:r>
      <w:r w:rsidRPr="00107F57">
        <w:rPr>
          <w:rFonts w:ascii="Arial" w:hAnsi="Arial"/>
          <w:i/>
          <w:sz w:val="20"/>
        </w:rPr>
        <w:t>appelle</w:t>
      </w:r>
      <w:r w:rsidRPr="00107F57">
        <w:rPr>
          <w:rFonts w:ascii="Arial" w:hAnsi="Arial"/>
          <w:sz w:val="20"/>
        </w:rPr>
        <w:t xml:space="preserve"> les parlements à contribuer activement à la réalisation du Programme de développement durable à l’horizon 2030 afin d’optimiser la gouvernance des migrations et de s’attaquer aux principales causes des migrations forcées et irrégulières – notamment l’extrême pauvreté, les changements climatiques et les catastrophes naturelles – et à promouvoir des mesures visant à sensibiliser aux avantages que procure une migration sûre et régulière en termes de développement et à optimiser ces avantages ;</w:t>
      </w:r>
    </w:p>
    <w:p w14:paraId="3769CF6B"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71471868"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lastRenderedPageBreak/>
        <w:t>6.</w:t>
      </w:r>
      <w:r w:rsidRPr="00107F57">
        <w:rPr>
          <w:rFonts w:ascii="Arial" w:hAnsi="Arial"/>
          <w:sz w:val="20"/>
        </w:rPr>
        <w:tab/>
      </w:r>
      <w:r w:rsidRPr="00107F57">
        <w:rPr>
          <w:rFonts w:ascii="Arial" w:hAnsi="Arial"/>
          <w:i/>
          <w:sz w:val="20"/>
        </w:rPr>
        <w:t>exhorte</w:t>
      </w:r>
      <w:r w:rsidRPr="00107F57">
        <w:rPr>
          <w:rFonts w:ascii="Arial" w:hAnsi="Arial"/>
          <w:sz w:val="20"/>
        </w:rPr>
        <w:t xml:space="preserve"> les Parlements membres de l’UIP à veiller à ce que le gouvernement de leur pays s’engage à respecter et à appliquer les normes pertinentes du droit international et à mettre en œuvre les résolutions pertinentes adoptées par la communauté internationale et par le Conseil de sécurité de l’ONU ;</w:t>
      </w:r>
    </w:p>
    <w:p w14:paraId="4F803422"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045CDAFD"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7.</w:t>
      </w:r>
      <w:r w:rsidRPr="00107F57">
        <w:rPr>
          <w:rFonts w:ascii="Arial" w:hAnsi="Arial"/>
          <w:i/>
          <w:sz w:val="20"/>
        </w:rPr>
        <w:tab/>
        <w:t>demande</w:t>
      </w:r>
      <w:r w:rsidRPr="00107F57">
        <w:rPr>
          <w:rFonts w:ascii="Arial" w:hAnsi="Arial"/>
          <w:sz w:val="20"/>
        </w:rPr>
        <w:t xml:space="preserve"> à ce que soit renforcée la solidarité internationale avec les pays où la situation économique et sécuritaire pousse les populations à migrer et aussi avec les pays qui accueillent un grand nombre de réfugiés, comme la Jordanie, le Liban et la Türkiye ;</w:t>
      </w:r>
    </w:p>
    <w:p w14:paraId="7949DF31" w14:textId="77777777" w:rsidR="008311FC" w:rsidRPr="00107F57" w:rsidRDefault="008311FC" w:rsidP="008311FC">
      <w:pPr>
        <w:pStyle w:val="Text"/>
        <w:tabs>
          <w:tab w:val="left" w:pos="567"/>
          <w:tab w:val="left" w:pos="1134"/>
        </w:tabs>
        <w:spacing w:after="0" w:line="240" w:lineRule="auto"/>
        <w:ind w:left="1134" w:hanging="567"/>
        <w:rPr>
          <w:rFonts w:ascii="Arial" w:hAnsi="Arial" w:cs="Arial"/>
          <w:sz w:val="20"/>
          <w:szCs w:val="20"/>
          <w:lang w:bidi="he-IL"/>
        </w:rPr>
      </w:pPr>
    </w:p>
    <w:p w14:paraId="22045F5A"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8.</w:t>
      </w:r>
      <w:r w:rsidRPr="00107F57">
        <w:rPr>
          <w:rFonts w:ascii="Arial" w:hAnsi="Arial"/>
          <w:sz w:val="20"/>
        </w:rPr>
        <w:tab/>
      </w:r>
      <w:r w:rsidRPr="00107F57">
        <w:rPr>
          <w:rFonts w:ascii="Arial" w:hAnsi="Arial"/>
          <w:i/>
          <w:sz w:val="20"/>
        </w:rPr>
        <w:t>invite</w:t>
      </w:r>
      <w:r w:rsidRPr="00107F57">
        <w:rPr>
          <w:rFonts w:ascii="Arial" w:hAnsi="Arial"/>
          <w:sz w:val="20"/>
        </w:rPr>
        <w:t xml:space="preserve"> tous les parlements et gouvernements à établir et mettre en œuvre des programmes de développement qui contribuent à éliminer les inégalités et la pauvreté, à remédier au manque d’opportunités et à éradiquer la violence dans les pays à taux de migration internationale élevé ainsi que dans les pays de transit, de manière à créer des opportunités dans les pays d’origine afin que les personnes ne soient pas obligées de partir ;</w:t>
      </w:r>
    </w:p>
    <w:p w14:paraId="1CCABF9D"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29259B31"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9.</w:t>
      </w:r>
      <w:r w:rsidRPr="00107F57">
        <w:rPr>
          <w:rFonts w:ascii="Arial" w:hAnsi="Arial"/>
          <w:sz w:val="20"/>
        </w:rPr>
        <w:tab/>
      </w:r>
      <w:r w:rsidRPr="00107F57">
        <w:rPr>
          <w:rFonts w:ascii="Arial" w:hAnsi="Arial"/>
          <w:i/>
          <w:sz w:val="20"/>
        </w:rPr>
        <w:t xml:space="preserve">invite </w:t>
      </w:r>
      <w:r w:rsidRPr="00107F57">
        <w:rPr>
          <w:rFonts w:ascii="Arial" w:hAnsi="Arial"/>
          <w:sz w:val="20"/>
        </w:rPr>
        <w:t>tous les gouvernements du monde à investir davantage dans l’emploi des jeunes, la protection sociale et les programmes de lutte contre le terrorisme ;</w:t>
      </w:r>
    </w:p>
    <w:p w14:paraId="22BF6046"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22DD1D1F" w14:textId="79D75940"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10.</w:t>
      </w:r>
      <w:r w:rsidRPr="00107F57">
        <w:rPr>
          <w:rFonts w:ascii="Arial" w:hAnsi="Arial"/>
          <w:sz w:val="20"/>
        </w:rPr>
        <w:tab/>
      </w:r>
      <w:r w:rsidRPr="00107F57">
        <w:rPr>
          <w:rFonts w:ascii="Arial" w:hAnsi="Arial"/>
          <w:i/>
          <w:sz w:val="20"/>
        </w:rPr>
        <w:t>invite en outre</w:t>
      </w:r>
      <w:r w:rsidRPr="00107F57">
        <w:rPr>
          <w:rFonts w:ascii="Arial" w:hAnsi="Arial"/>
          <w:sz w:val="20"/>
        </w:rPr>
        <w:t xml:space="preserve"> tous les gouvernements à prendre des mesures concrètes et coordonnées, notamment par la voie législative, destinées à démanteler les organisations et réseaux mondiaux de passeurs et de trafiquants, afin de renforcer les efforts de lutte contre la traite des êtres humains</w:t>
      </w:r>
      <w:r w:rsidR="00064900">
        <w:rPr>
          <w:rFonts w:ascii="Arial" w:hAnsi="Arial"/>
          <w:sz w:val="20"/>
        </w:rPr>
        <w:t xml:space="preserve"> et le trafic illicite</w:t>
      </w:r>
      <w:r w:rsidR="00F1188D">
        <w:rPr>
          <w:rFonts w:ascii="Arial" w:hAnsi="Arial"/>
          <w:sz w:val="20"/>
        </w:rPr>
        <w:t xml:space="preserve"> de migrants</w:t>
      </w:r>
      <w:r w:rsidRPr="00107F57">
        <w:rPr>
          <w:rFonts w:ascii="Arial" w:hAnsi="Arial"/>
          <w:sz w:val="20"/>
        </w:rPr>
        <w:t> ;</w:t>
      </w:r>
    </w:p>
    <w:p w14:paraId="17B2F0E0"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46CF8735" w14:textId="5587E58F"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11.</w:t>
      </w:r>
      <w:r w:rsidRPr="00107F57">
        <w:rPr>
          <w:rFonts w:ascii="Arial" w:hAnsi="Arial"/>
          <w:sz w:val="20"/>
        </w:rPr>
        <w:tab/>
      </w:r>
      <w:r w:rsidRPr="00107F57">
        <w:rPr>
          <w:rFonts w:ascii="Arial" w:hAnsi="Arial"/>
          <w:i/>
          <w:sz w:val="20"/>
        </w:rPr>
        <w:t>encourage</w:t>
      </w:r>
      <w:r w:rsidRPr="00107F57">
        <w:rPr>
          <w:rFonts w:ascii="Arial" w:hAnsi="Arial"/>
          <w:sz w:val="20"/>
        </w:rPr>
        <w:t xml:space="preserve"> les gouvernements à renforcer la coopération internationale pour prévenir les actes de traite et de trafic, enquêter sur ces faits, poursuivre leurs auteurs et lutter contre ces phénomènes, et à repérer et </w:t>
      </w:r>
      <w:r w:rsidR="00A03124">
        <w:rPr>
          <w:rFonts w:ascii="Arial" w:hAnsi="Arial"/>
          <w:sz w:val="20"/>
        </w:rPr>
        <w:t>perturber</w:t>
      </w:r>
      <w:r w:rsidR="00A03124" w:rsidRPr="00107F57">
        <w:rPr>
          <w:rFonts w:ascii="Arial" w:hAnsi="Arial"/>
          <w:sz w:val="20"/>
        </w:rPr>
        <w:t xml:space="preserve"> </w:t>
      </w:r>
      <w:r w:rsidRPr="00107F57">
        <w:rPr>
          <w:rFonts w:ascii="Arial" w:hAnsi="Arial"/>
          <w:sz w:val="20"/>
        </w:rPr>
        <w:t>les flux financiers liés à ces activités ;</w:t>
      </w:r>
    </w:p>
    <w:p w14:paraId="2282E12F"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12059541"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12.</w:t>
      </w:r>
      <w:r w:rsidRPr="00107F57">
        <w:rPr>
          <w:rFonts w:ascii="Arial" w:hAnsi="Arial"/>
          <w:sz w:val="20"/>
        </w:rPr>
        <w:tab/>
      </w:r>
      <w:r w:rsidRPr="00107F57">
        <w:rPr>
          <w:rFonts w:ascii="Arial" w:hAnsi="Arial"/>
          <w:i/>
          <w:sz w:val="20"/>
        </w:rPr>
        <w:t>exhorte</w:t>
      </w:r>
      <w:r w:rsidRPr="00107F57">
        <w:rPr>
          <w:rFonts w:ascii="Arial" w:hAnsi="Arial"/>
          <w:sz w:val="20"/>
        </w:rPr>
        <w:t xml:space="preserve"> tous les pays à veiller à ce que l’instrumentalisation de la traite des êtres humains par des États ne puisse jamais se reproduire ;</w:t>
      </w:r>
    </w:p>
    <w:p w14:paraId="7B3B9588"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37E48814"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13.</w:t>
      </w:r>
      <w:r w:rsidRPr="00107F57">
        <w:rPr>
          <w:rFonts w:ascii="Arial" w:hAnsi="Arial"/>
          <w:sz w:val="20"/>
        </w:rPr>
        <w:tab/>
      </w:r>
      <w:r w:rsidRPr="00107F57">
        <w:rPr>
          <w:rFonts w:ascii="Arial" w:hAnsi="Arial"/>
          <w:i/>
          <w:sz w:val="20"/>
        </w:rPr>
        <w:t>demande</w:t>
      </w:r>
      <w:r w:rsidRPr="00107F57">
        <w:rPr>
          <w:rFonts w:ascii="Arial" w:hAnsi="Arial"/>
          <w:sz w:val="20"/>
        </w:rPr>
        <w:t xml:space="preserve"> aux pays d’origine et de transit de mener des enquêtes approfondies sur les itinéraires de la traite, de coopérer pleinement avec les États limitrophes et de contribuer à l’élimination de la traite organisée des êtres humains vers des pays tiers ;</w:t>
      </w:r>
    </w:p>
    <w:p w14:paraId="554542E7"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5D247760"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r w:rsidRPr="00107F57">
        <w:rPr>
          <w:rFonts w:ascii="Arial" w:hAnsi="Arial"/>
          <w:sz w:val="20"/>
        </w:rPr>
        <w:t>14.</w:t>
      </w:r>
      <w:r w:rsidRPr="00107F57">
        <w:rPr>
          <w:rFonts w:ascii="Arial" w:hAnsi="Arial"/>
          <w:sz w:val="20"/>
        </w:rPr>
        <w:tab/>
      </w:r>
      <w:r w:rsidRPr="00107F57">
        <w:rPr>
          <w:rFonts w:ascii="Arial" w:hAnsi="Arial"/>
          <w:i/>
          <w:sz w:val="20"/>
        </w:rPr>
        <w:t>demande</w:t>
      </w:r>
      <w:r w:rsidRPr="00107F57">
        <w:rPr>
          <w:rFonts w:ascii="Arial" w:hAnsi="Arial"/>
          <w:sz w:val="20"/>
        </w:rPr>
        <w:t xml:space="preserve"> au Secrétaire général de l’UIP de transmettre la présente résolution aux Parlements membres de l’UIP, au Secrétaire général de l’ONU et à toutes les institutions concernées ;</w:t>
      </w:r>
    </w:p>
    <w:p w14:paraId="5B048773"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lang w:bidi="he-IL"/>
        </w:rPr>
      </w:pPr>
    </w:p>
    <w:p w14:paraId="57CD1DFE" w14:textId="77777777" w:rsidR="008311FC" w:rsidRPr="00107F57" w:rsidRDefault="008311FC" w:rsidP="008311FC">
      <w:pPr>
        <w:pStyle w:val="Text"/>
        <w:tabs>
          <w:tab w:val="left" w:pos="1134"/>
        </w:tabs>
        <w:spacing w:after="0" w:line="240" w:lineRule="auto"/>
        <w:ind w:left="1134" w:hanging="567"/>
        <w:rPr>
          <w:rFonts w:ascii="Arial" w:hAnsi="Arial" w:cs="Arial"/>
          <w:sz w:val="20"/>
          <w:szCs w:val="20"/>
        </w:rPr>
      </w:pPr>
      <w:r w:rsidRPr="00107F57">
        <w:rPr>
          <w:rFonts w:ascii="Arial" w:hAnsi="Arial"/>
          <w:sz w:val="20"/>
        </w:rPr>
        <w:t>15.</w:t>
      </w:r>
      <w:r w:rsidRPr="00107F57">
        <w:rPr>
          <w:rFonts w:ascii="Arial" w:hAnsi="Arial"/>
          <w:sz w:val="20"/>
        </w:rPr>
        <w:tab/>
      </w:r>
      <w:r w:rsidRPr="00107F57">
        <w:rPr>
          <w:rFonts w:ascii="Arial" w:hAnsi="Arial"/>
          <w:i/>
          <w:sz w:val="20"/>
        </w:rPr>
        <w:t>invite</w:t>
      </w:r>
      <w:r w:rsidRPr="00107F57">
        <w:rPr>
          <w:rFonts w:ascii="Arial" w:hAnsi="Arial"/>
          <w:sz w:val="20"/>
        </w:rPr>
        <w:t xml:space="preserve"> les Parlements membres de l’UIP à communiquer au Secrétariat de l’UIP, d’ici la 149</w:t>
      </w:r>
      <w:r w:rsidRPr="00107F57">
        <w:rPr>
          <w:rFonts w:ascii="Arial" w:hAnsi="Arial"/>
          <w:sz w:val="20"/>
          <w:vertAlign w:val="superscript"/>
        </w:rPr>
        <w:t>e</w:t>
      </w:r>
      <w:r w:rsidRPr="00107F57">
        <w:rPr>
          <w:rFonts w:ascii="Arial" w:hAnsi="Arial"/>
          <w:sz w:val="20"/>
        </w:rPr>
        <w:t xml:space="preserve"> Assemblée, les mesures prises pour mettre en œuvre la présente résolution.</w:t>
      </w:r>
    </w:p>
    <w:p w14:paraId="1314BF45" w14:textId="5E12B714" w:rsidR="00245B89" w:rsidRPr="00107F57" w:rsidRDefault="00245B89" w:rsidP="004F7142">
      <w:pPr>
        <w:ind w:left="851" w:hanging="851"/>
        <w:rPr>
          <w:rFonts w:ascii="Arial" w:hAnsi="Arial" w:cs="Arial"/>
          <w:sz w:val="16"/>
          <w:szCs w:val="16"/>
        </w:rPr>
      </w:pPr>
    </w:p>
    <w:sectPr w:rsidR="00245B89" w:rsidRPr="00107F57" w:rsidSect="00B01B94">
      <w:headerReference w:type="default" r:id="rId12"/>
      <w:footerReference w:type="default" r:id="rId13"/>
      <w:pgSz w:w="11907" w:h="16839" w:code="9"/>
      <w:pgMar w:top="1440" w:right="1440" w:bottom="1440"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88CF" w14:textId="77777777" w:rsidR="00BE3EAB" w:rsidRDefault="00BE3EAB" w:rsidP="00DD709C">
      <w:r>
        <w:separator/>
      </w:r>
    </w:p>
  </w:endnote>
  <w:endnote w:type="continuationSeparator" w:id="0">
    <w:p w14:paraId="636DE32C" w14:textId="77777777" w:rsidR="00BE3EAB" w:rsidRDefault="00BE3EAB" w:rsidP="00DD709C">
      <w:r>
        <w:continuationSeparator/>
      </w:r>
    </w:p>
  </w:endnote>
  <w:endnote w:type="continuationNotice" w:id="1">
    <w:p w14:paraId="4DDC32FC" w14:textId="77777777" w:rsidR="00C132F8" w:rsidRDefault="00C13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lo Serif Offc">
    <w:altName w:val="Centaur"/>
    <w:charset w:val="00"/>
    <w:family w:val="auto"/>
    <w:pitch w:val="variable"/>
    <w:sig w:usb0="00000003" w:usb1="4000205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96A1" w14:textId="77777777" w:rsidR="006B374E" w:rsidRDefault="006B374E">
    <w:pPr>
      <w:pStyle w:val="Pieddepage"/>
    </w:pPr>
    <w:r>
      <w:rPr>
        <w:noProof/>
        <w:lang w:val="fr-CH" w:eastAsia="fr-CH" w:bidi="ar-SA"/>
      </w:rPr>
      <mc:AlternateContent>
        <mc:Choice Requires="wpg">
          <w:drawing>
            <wp:anchor distT="0" distB="0" distL="114300" distR="114300" simplePos="0" relativeHeight="251658240" behindDoc="0" locked="0" layoutInCell="1" allowOverlap="1" wp14:anchorId="1329FF84" wp14:editId="4D3C29D1">
              <wp:simplePos x="0" y="0"/>
              <wp:positionH relativeFrom="column">
                <wp:posOffset>-1980565</wp:posOffset>
              </wp:positionH>
              <wp:positionV relativeFrom="paragraph">
                <wp:posOffset>-2688590</wp:posOffset>
              </wp:positionV>
              <wp:extent cx="1828800" cy="2922905"/>
              <wp:effectExtent l="0" t="0" r="19050" b="10795"/>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5"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68AB25B2" w14:textId="77777777" w:rsidR="006B374E" w:rsidRPr="007D6395" w:rsidRDefault="006B374E" w:rsidP="006F3588">
                            <w:pPr>
                              <w:rPr>
                                <w:rFonts w:ascii="Arial" w:hAnsi="Arial"/>
                                <w:color w:val="D9D9D9"/>
                                <w:sz w:val="400"/>
                                <w:szCs w:val="400"/>
                              </w:rPr>
                            </w:pPr>
                            <w:r>
                              <w:rPr>
                                <w:rFonts w:ascii="Arial" w:hAnsi="Arial"/>
                                <w:color w:val="D9D9D9"/>
                                <w:sz w:val="400"/>
                                <w:szCs w:val="400"/>
                              </w:rPr>
                              <w:t>F</w:t>
                            </w:r>
                          </w:p>
                          <w:p w14:paraId="08D20A50" w14:textId="77777777" w:rsidR="006B374E" w:rsidRDefault="006B374E" w:rsidP="006F3588">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6"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7CE26112" w14:textId="77777777" w:rsidR="006B374E" w:rsidRPr="007D6395" w:rsidRDefault="006B374E" w:rsidP="006F3588">
                            <w:pPr>
                              <w:jc w:val="center"/>
                              <w:rPr>
                                <w:rFonts w:ascii="Arial" w:hAnsi="Arial"/>
                                <w:sz w:val="32"/>
                                <w:szCs w:val="32"/>
                              </w:rPr>
                            </w:pPr>
                            <w:r>
                              <w:rPr>
                                <w:rFonts w:ascii="Arial" w:hAnsi="Arial"/>
                                <w:b/>
                                <w:color w:val="808080"/>
                                <w:sz w:val="32"/>
                                <w:szCs w:val="32"/>
                              </w:rPr>
                              <w:t>#IPU143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9FF84" id="Group 4" o:spid="_x0000_s1029" style="position:absolute;margin-left:-155.95pt;margin-top:-211.7pt;width:2in;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">
              <v:shapetype id="_x0000_t202" coordsize="21600,21600" o:spt="202" path="m,l,21600r21600,l21600,xe">
                <v:stroke joinstyle="miter"/>
                <v:path gradientshapeok="t" o:connecttype="rect"/>
              </v:shapetype>
              <v:shape id="Zone de texte 2" o:spid="_x0000_s1030"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68AB25B2" w14:textId="77777777" w:rsidR="006B374E" w:rsidRPr="007D6395" w:rsidRDefault="006B374E" w:rsidP="006F3588">
                      <w:pPr>
                        <w:rPr>
                          <w:rFonts w:ascii="Arial" w:hAnsi="Arial"/>
                          <w:color w:val="D9D9D9"/>
                          <w:sz w:val="400"/>
                          <w:szCs w:val="400"/>
                        </w:rPr>
                      </w:pPr>
                      <w:r>
                        <w:rPr>
                          <w:rFonts w:ascii="Arial" w:hAnsi="Arial"/>
                          <w:color w:val="D9D9D9"/>
                          <w:sz w:val="400"/>
                          <w:szCs w:val="400"/>
                        </w:rPr>
                        <w:t>F</w:t>
                      </w:r>
                    </w:p>
                    <w:p w14:paraId="08D20A50" w14:textId="77777777" w:rsidR="006B374E" w:rsidRDefault="006B374E" w:rsidP="006F3588">
                      <w:pPr>
                        <w:pStyle w:val="Pieddepage"/>
                        <w:ind w:left="-2126"/>
                        <w:contextualSpacing/>
                      </w:pPr>
                      <w:r w:rsidRPr="00B90E42">
                        <w:rPr>
                          <w:b/>
                          <w:color w:val="808080"/>
                          <w:sz w:val="32"/>
                          <w:szCs w:val="32"/>
                        </w:rPr>
                        <w:t>#IPU134</w:t>
                      </w:r>
                    </w:p>
                  </w:txbxContent>
                </v:textbox>
              </v:shape>
              <v:shape id="Zone de texte 2" o:spid="_x0000_s1031"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7CE26112" w14:textId="77777777" w:rsidR="006B374E" w:rsidRPr="007D6395" w:rsidRDefault="006B374E" w:rsidP="006F3588">
                      <w:pPr>
                        <w:jc w:val="center"/>
                        <w:rPr>
                          <w:rFonts w:ascii="Arial" w:hAnsi="Arial"/>
                          <w:sz w:val="32"/>
                          <w:szCs w:val="32"/>
                        </w:rPr>
                      </w:pPr>
                      <w:r>
                        <w:rPr>
                          <w:rFonts w:ascii="Arial" w:hAnsi="Arial"/>
                          <w:b/>
                          <w:color w:val="808080"/>
                          <w:sz w:val="32"/>
                          <w:szCs w:val="32"/>
                        </w:rPr>
                        <w:t>#IPU143</w:t>
                      </w:r>
                    </w:p>
                  </w:txbxContent>
                </v:textbox>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3BBC" w14:textId="77777777" w:rsidR="00B01B94" w:rsidRDefault="00B01B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17EC0" w14:textId="77777777" w:rsidR="00BE3EAB" w:rsidRDefault="00BE3EAB" w:rsidP="00DD709C">
      <w:r>
        <w:separator/>
      </w:r>
    </w:p>
  </w:footnote>
  <w:footnote w:type="continuationSeparator" w:id="0">
    <w:p w14:paraId="7778BF0E" w14:textId="77777777" w:rsidR="00BE3EAB" w:rsidRDefault="00BE3EAB" w:rsidP="00DD709C">
      <w:r>
        <w:continuationSeparator/>
      </w:r>
    </w:p>
  </w:footnote>
  <w:footnote w:type="continuationNotice" w:id="1">
    <w:p w14:paraId="614F7F8A" w14:textId="77777777" w:rsidR="00C132F8" w:rsidRDefault="00C132F8"/>
  </w:footnote>
  <w:footnote w:id="2">
    <w:p w14:paraId="58F9262D" w14:textId="1D03B482" w:rsidR="002305E2" w:rsidRPr="0036241C" w:rsidRDefault="002305E2" w:rsidP="002305E2">
      <w:pPr>
        <w:pStyle w:val="Notedebasdepage"/>
        <w:tabs>
          <w:tab w:val="left" w:pos="284"/>
        </w:tabs>
        <w:rPr>
          <w:rFonts w:ascii="Arial" w:hAnsi="Arial" w:cs="Arial"/>
          <w:sz w:val="18"/>
          <w:szCs w:val="18"/>
          <w:lang w:val="fr-CH"/>
        </w:rPr>
      </w:pPr>
      <w:r w:rsidRPr="0036241C">
        <w:rPr>
          <w:rStyle w:val="Appelnotedebasdep"/>
          <w:rFonts w:ascii="Arial" w:hAnsi="Arial" w:cs="Arial"/>
          <w:sz w:val="18"/>
          <w:szCs w:val="18"/>
        </w:rPr>
        <w:t>*</w:t>
      </w:r>
      <w:r w:rsidRPr="0036241C">
        <w:rPr>
          <w:rFonts w:ascii="Arial" w:hAnsi="Arial" w:cs="Arial"/>
          <w:sz w:val="18"/>
          <w:szCs w:val="18"/>
        </w:rPr>
        <w:t xml:space="preserve"> </w:t>
      </w:r>
      <w:r w:rsidRPr="0036241C">
        <w:rPr>
          <w:rFonts w:ascii="Arial" w:hAnsi="Arial" w:cs="Arial"/>
          <w:sz w:val="18"/>
          <w:szCs w:val="18"/>
          <w:lang w:val="fr-CH"/>
        </w:rPr>
        <w:tab/>
      </w:r>
      <w:r w:rsidR="005A6E81" w:rsidRPr="0036241C">
        <w:rPr>
          <w:rFonts w:ascii="Arial" w:hAnsi="Arial" w:cs="Arial"/>
          <w:sz w:val="18"/>
          <w:szCs w:val="18"/>
          <w:lang w:val="fr-CH"/>
        </w:rPr>
        <w:t>Les rapporteurs avaient des points de vue différents sur l'utilisation de ce terme.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6" w:type="dxa"/>
      <w:tblInd w:w="-2544" w:type="dxa"/>
      <w:tblLayout w:type="fixed"/>
      <w:tblLook w:val="04A0" w:firstRow="1" w:lastRow="0" w:firstColumn="1" w:lastColumn="0" w:noHBand="0" w:noVBand="1"/>
    </w:tblPr>
    <w:tblGrid>
      <w:gridCol w:w="2552"/>
      <w:gridCol w:w="5487"/>
      <w:gridCol w:w="2977"/>
    </w:tblGrid>
    <w:tr w:rsidR="004F7142" w:rsidRPr="004F7142" w14:paraId="334D5EAF" w14:textId="77777777" w:rsidTr="006B243C">
      <w:trPr>
        <w:trHeight w:val="1977"/>
      </w:trPr>
      <w:tc>
        <w:tcPr>
          <w:tcW w:w="2552" w:type="dxa"/>
          <w:shd w:val="clear" w:color="auto" w:fill="auto"/>
        </w:tcPr>
        <w:p w14:paraId="64A4BF54" w14:textId="77777777" w:rsidR="004F7142" w:rsidRPr="004F7142" w:rsidRDefault="004F7142" w:rsidP="004F7142">
          <w:pPr>
            <w:tabs>
              <w:tab w:val="center" w:pos="4320"/>
              <w:tab w:val="right" w:pos="8640"/>
            </w:tabs>
            <w:spacing w:after="200" w:line="276" w:lineRule="auto"/>
            <w:rPr>
              <w:rFonts w:ascii="Cambria" w:eastAsia="MS Mincho" w:hAnsi="Cambria" w:cs="Times New Roman"/>
              <w:lang w:val="en-GB" w:eastAsia="en-US" w:bidi="ar-SA"/>
            </w:rPr>
          </w:pPr>
          <w:r w:rsidRPr="004F7142">
            <w:rPr>
              <w:rFonts w:ascii="Arial" w:eastAsia="Calibri" w:hAnsi="Arial" w:cs="Arial"/>
              <w:noProof/>
              <w:sz w:val="20"/>
              <w:szCs w:val="22"/>
              <w:lang w:eastAsia="fr-CH" w:bidi="ar-SA"/>
            </w:rPr>
            <w:drawing>
              <wp:inline distT="0" distB="0" distL="0" distR="0" wp14:anchorId="49D5D0C1" wp14:editId="2AB6508F">
                <wp:extent cx="1520190" cy="12827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1282700"/>
                        </a:xfrm>
                        <a:prstGeom prst="rect">
                          <a:avLst/>
                        </a:prstGeom>
                        <a:noFill/>
                        <a:ln>
                          <a:noFill/>
                        </a:ln>
                      </pic:spPr>
                    </pic:pic>
                  </a:graphicData>
                </a:graphic>
              </wp:inline>
            </w:drawing>
          </w:r>
        </w:p>
      </w:tc>
      <w:tc>
        <w:tcPr>
          <w:tcW w:w="5487" w:type="dxa"/>
          <w:shd w:val="clear" w:color="auto" w:fill="auto"/>
          <w:vAlign w:val="center"/>
        </w:tcPr>
        <w:p w14:paraId="1F4CF573" w14:textId="77777777" w:rsidR="004F7142" w:rsidRPr="004F7142" w:rsidRDefault="004F7142" w:rsidP="004F7142">
          <w:pPr>
            <w:keepNext/>
            <w:keepLines/>
            <w:ind w:left="172"/>
            <w:jc w:val="center"/>
            <w:outlineLvl w:val="0"/>
            <w:rPr>
              <w:rFonts w:ascii="Arial" w:eastAsia="MS Mincho" w:hAnsi="Arial" w:cs="Arial"/>
              <w:b/>
              <w:color w:val="00AABE"/>
              <w:sz w:val="44"/>
              <w:szCs w:val="44"/>
              <w:lang w:val="fr-CH" w:eastAsia="en-US" w:bidi="ar-SA"/>
            </w:rPr>
          </w:pPr>
          <w:r w:rsidRPr="004F7142">
            <w:rPr>
              <w:rFonts w:ascii="Arial" w:eastAsia="Calibri" w:hAnsi="Arial" w:cs="Arial"/>
              <w:b/>
              <w:bCs/>
              <w:color w:val="00AABE"/>
              <w:sz w:val="44"/>
              <w:szCs w:val="44"/>
              <w:lang w:val="fr-CH" w:eastAsia="en-US" w:bidi="ar-SA"/>
            </w:rPr>
            <w:t>145</w:t>
          </w:r>
          <w:r w:rsidRPr="004F7142">
            <w:rPr>
              <w:rFonts w:ascii="Arial" w:eastAsia="Calibri" w:hAnsi="Arial" w:cs="Arial"/>
              <w:b/>
              <w:bCs/>
              <w:color w:val="00AABE"/>
              <w:sz w:val="44"/>
              <w:szCs w:val="44"/>
              <w:vertAlign w:val="superscript"/>
              <w:lang w:val="fr-CH" w:eastAsia="en-US" w:bidi="ar-SA"/>
            </w:rPr>
            <w:t>e</w:t>
          </w:r>
          <w:r w:rsidRPr="004F7142">
            <w:rPr>
              <w:rFonts w:ascii="Arial" w:eastAsia="Calibri" w:hAnsi="Arial" w:cs="Arial"/>
              <w:b/>
              <w:bCs/>
              <w:color w:val="00AABE"/>
              <w:sz w:val="44"/>
              <w:szCs w:val="44"/>
              <w:lang w:val="fr-CH" w:eastAsia="en-US" w:bidi="ar-SA"/>
            </w:rPr>
            <w:t xml:space="preserve"> Assemblée de l'UIP</w:t>
          </w:r>
        </w:p>
        <w:p w14:paraId="667100E3" w14:textId="77777777" w:rsidR="004F7142" w:rsidRPr="004F7142" w:rsidRDefault="004F7142" w:rsidP="004F7142">
          <w:pPr>
            <w:autoSpaceDE w:val="0"/>
            <w:autoSpaceDN w:val="0"/>
            <w:adjustRightInd w:val="0"/>
            <w:ind w:left="172"/>
            <w:jc w:val="center"/>
            <w:rPr>
              <w:rFonts w:ascii="Arial" w:eastAsia="Calibri" w:hAnsi="Arial" w:cs="Arial"/>
              <w:b/>
              <w:bCs/>
              <w:color w:val="00AABE"/>
              <w:sz w:val="16"/>
              <w:szCs w:val="16"/>
              <w:lang w:val="fr-CH" w:eastAsia="en-US" w:bidi="ar-SA"/>
            </w:rPr>
          </w:pPr>
        </w:p>
        <w:p w14:paraId="183BE294" w14:textId="77777777" w:rsidR="004F7142" w:rsidRPr="004F7142" w:rsidRDefault="004F7142" w:rsidP="004F7142">
          <w:pPr>
            <w:autoSpaceDE w:val="0"/>
            <w:autoSpaceDN w:val="0"/>
            <w:adjustRightInd w:val="0"/>
            <w:ind w:left="172"/>
            <w:jc w:val="center"/>
            <w:rPr>
              <w:rFonts w:ascii="Arial" w:eastAsia="Calibri" w:hAnsi="Arial" w:cs="Arial"/>
              <w:b/>
              <w:bCs/>
              <w:color w:val="00AABE"/>
              <w:sz w:val="32"/>
              <w:szCs w:val="32"/>
              <w:lang w:val="fr-CH" w:eastAsia="en-US" w:bidi="ar-SA"/>
            </w:rPr>
          </w:pPr>
          <w:r w:rsidRPr="004F7142">
            <w:rPr>
              <w:rFonts w:ascii="Arial" w:eastAsia="Calibri" w:hAnsi="Arial" w:cs="Arial"/>
              <w:b/>
              <w:bCs/>
              <w:color w:val="00AABE"/>
              <w:sz w:val="32"/>
              <w:szCs w:val="32"/>
              <w:lang w:val="fr-CH" w:eastAsia="en-US" w:bidi="ar-SA"/>
            </w:rPr>
            <w:t>Kigali (Rwanda)</w:t>
          </w:r>
        </w:p>
        <w:p w14:paraId="4C7000A3" w14:textId="77777777" w:rsidR="004F7142" w:rsidRPr="004F7142" w:rsidRDefault="004F7142" w:rsidP="004F7142">
          <w:pPr>
            <w:autoSpaceDE w:val="0"/>
            <w:autoSpaceDN w:val="0"/>
            <w:adjustRightInd w:val="0"/>
            <w:ind w:left="172"/>
            <w:jc w:val="center"/>
            <w:rPr>
              <w:rFonts w:ascii="Arial" w:eastAsia="MS Mincho" w:hAnsi="Arial" w:cs="Arial"/>
              <w:color w:val="00979B"/>
              <w:sz w:val="32"/>
              <w:szCs w:val="32"/>
              <w:lang w:val="en-GB" w:eastAsia="en-US" w:bidi="ar-SA"/>
            </w:rPr>
          </w:pPr>
          <w:r w:rsidRPr="004F7142">
            <w:rPr>
              <w:rFonts w:ascii="Arial" w:eastAsia="Calibri" w:hAnsi="Arial" w:cs="Arial"/>
              <w:b/>
              <w:bCs/>
              <w:color w:val="00AABE"/>
              <w:sz w:val="32"/>
              <w:szCs w:val="32"/>
              <w:lang w:val="en-US" w:eastAsia="en-US" w:bidi="ar-SA"/>
            </w:rPr>
            <w:t xml:space="preserve">11-15 </w:t>
          </w:r>
          <w:proofErr w:type="spellStart"/>
          <w:r w:rsidRPr="004F7142">
            <w:rPr>
              <w:rFonts w:ascii="Arial" w:eastAsia="Calibri" w:hAnsi="Arial" w:cs="Arial"/>
              <w:b/>
              <w:bCs/>
              <w:color w:val="00AABE"/>
              <w:sz w:val="32"/>
              <w:szCs w:val="32"/>
              <w:lang w:val="en-US" w:eastAsia="en-US" w:bidi="ar-SA"/>
            </w:rPr>
            <w:t>octobre</w:t>
          </w:r>
          <w:proofErr w:type="spellEnd"/>
          <w:r w:rsidRPr="004F7142">
            <w:rPr>
              <w:rFonts w:ascii="Arial" w:eastAsia="Calibri" w:hAnsi="Arial" w:cs="Arial"/>
              <w:b/>
              <w:bCs/>
              <w:color w:val="00AABE"/>
              <w:sz w:val="32"/>
              <w:szCs w:val="32"/>
              <w:lang w:val="en-US" w:eastAsia="en-US" w:bidi="ar-SA"/>
            </w:rPr>
            <w:t xml:space="preserve"> 2022</w:t>
          </w:r>
        </w:p>
      </w:tc>
      <w:tc>
        <w:tcPr>
          <w:tcW w:w="2977" w:type="dxa"/>
          <w:vAlign w:val="center"/>
        </w:tcPr>
        <w:p w14:paraId="7FD541E1" w14:textId="77777777" w:rsidR="004F7142" w:rsidRPr="004F7142" w:rsidRDefault="004F7142" w:rsidP="004F7142">
          <w:pPr>
            <w:keepNext/>
            <w:keepLines/>
            <w:spacing w:before="40" w:after="200" w:line="276" w:lineRule="auto"/>
            <w:ind w:left="33" w:right="176"/>
            <w:outlineLvl w:val="0"/>
            <w:rPr>
              <w:rFonts w:ascii="Calibri" w:eastAsia="MS Mincho" w:hAnsi="Calibri" w:cs="Arial"/>
              <w:b/>
              <w:color w:val="00979B"/>
              <w:sz w:val="22"/>
              <w:szCs w:val="22"/>
              <w:lang w:val="en-GB" w:eastAsia="en-US" w:bidi="ar-SA"/>
            </w:rPr>
          </w:pPr>
          <w:r w:rsidRPr="004F7142">
            <w:rPr>
              <w:rFonts w:ascii="Calibri" w:eastAsia="Calibri" w:hAnsi="Calibri" w:cs="Arial"/>
              <w:noProof/>
              <w:sz w:val="22"/>
              <w:szCs w:val="22"/>
              <w:lang w:val="en-US" w:eastAsia="en-US" w:bidi="ar-SA"/>
            </w:rPr>
            <w:drawing>
              <wp:inline distT="0" distB="0" distL="0" distR="0" wp14:anchorId="2F3D4CA0" wp14:editId="5DB16553">
                <wp:extent cx="1753200" cy="1278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9572" b="7078"/>
                        <a:stretch/>
                      </pic:blipFill>
                      <pic:spPr bwMode="auto">
                        <a:xfrm>
                          <a:off x="0" y="0"/>
                          <a:ext cx="1753200" cy="127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36227C" w14:textId="77777777" w:rsidR="004F7142" w:rsidRPr="004F7142" w:rsidRDefault="004F7142" w:rsidP="004F7142">
    <w:pPr>
      <w:tabs>
        <w:tab w:val="center" w:pos="4536"/>
        <w:tab w:val="right" w:pos="9072"/>
      </w:tabs>
      <w:rPr>
        <w:rFonts w:ascii="Cambria" w:eastAsia="MS Mincho" w:hAnsi="Cambria" w:cs="Times New Roman"/>
        <w:lang w:val="en-GB" w:eastAsia="en-US" w:bidi="ar-SA"/>
      </w:rPr>
    </w:pPr>
    <w:r w:rsidRPr="004F7142">
      <w:rPr>
        <w:rFonts w:ascii="Calibri" w:eastAsia="Calibri" w:hAnsi="Calibri" w:cs="Arial"/>
        <w:noProof/>
        <w:sz w:val="22"/>
        <w:szCs w:val="22"/>
        <w:lang w:val="en-US" w:eastAsia="en-US" w:bidi="ar-SA"/>
      </w:rPr>
      <mc:AlternateContent>
        <mc:Choice Requires="wpg">
          <w:drawing>
            <wp:anchor distT="0" distB="0" distL="114300" distR="114300" simplePos="0" relativeHeight="251658241" behindDoc="0" locked="0" layoutInCell="1" allowOverlap="1" wp14:anchorId="7988FAC3" wp14:editId="17091456">
              <wp:simplePos x="0" y="0"/>
              <wp:positionH relativeFrom="column">
                <wp:posOffset>-1969770</wp:posOffset>
              </wp:positionH>
              <wp:positionV relativeFrom="paragraph">
                <wp:posOffset>5470525</wp:posOffset>
              </wp:positionV>
              <wp:extent cx="1828800" cy="2922905"/>
              <wp:effectExtent l="11430" t="12700" r="7620" b="7620"/>
              <wp:wrapSquare wrapText="bothSides"/>
              <wp:docPr id="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10"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2DE57C9A" w14:textId="77777777" w:rsidR="004F7142" w:rsidRPr="007D6395" w:rsidRDefault="004F7142" w:rsidP="004F7142">
                            <w:pPr>
                              <w:rPr>
                                <w:rFonts w:ascii="Arial" w:hAnsi="Arial"/>
                                <w:color w:val="D9D9D9"/>
                                <w:sz w:val="400"/>
                                <w:szCs w:val="400"/>
                              </w:rPr>
                            </w:pPr>
                            <w:r>
                              <w:rPr>
                                <w:rFonts w:ascii="Arial" w:hAnsi="Arial"/>
                                <w:color w:val="D9D9D9"/>
                                <w:sz w:val="400"/>
                                <w:szCs w:val="400"/>
                              </w:rPr>
                              <w:t>F</w:t>
                            </w:r>
                          </w:p>
                          <w:p w14:paraId="57E9DC90" w14:textId="77777777" w:rsidR="004F7142" w:rsidRDefault="004F7142" w:rsidP="004F7142">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11"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41BF5821" w14:textId="77777777" w:rsidR="004F7142" w:rsidRPr="007D6395" w:rsidRDefault="004F7142" w:rsidP="004F7142">
                            <w:pPr>
                              <w:jc w:val="center"/>
                              <w:rPr>
                                <w:rFonts w:ascii="Arial" w:hAnsi="Arial"/>
                                <w:sz w:val="32"/>
                                <w:szCs w:val="32"/>
                              </w:rPr>
                            </w:pPr>
                            <w:r>
                              <w:rPr>
                                <w:rFonts w:ascii="Arial" w:hAnsi="Arial"/>
                                <w:b/>
                                <w:color w:val="808080"/>
                                <w:sz w:val="32"/>
                                <w:szCs w:val="32"/>
                              </w:rPr>
                              <w:t>#IPU145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8FAC3" id="Groupe 4" o:spid="_x0000_s1026" style="position:absolute;margin-left:-155.1pt;margin-top:430.75pt;width:2in;height:230.15pt;z-index:251658241"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14:paraId="2DE57C9A" w14:textId="77777777" w:rsidR="004F7142" w:rsidRPr="007D6395" w:rsidRDefault="004F7142" w:rsidP="004F7142">
                      <w:pPr>
                        <w:rPr>
                          <w:rFonts w:ascii="Arial" w:hAnsi="Arial"/>
                          <w:color w:val="D9D9D9"/>
                          <w:sz w:val="400"/>
                          <w:szCs w:val="400"/>
                        </w:rPr>
                      </w:pPr>
                      <w:r>
                        <w:rPr>
                          <w:rFonts w:ascii="Arial" w:hAnsi="Arial"/>
                          <w:color w:val="D9D9D9"/>
                          <w:sz w:val="400"/>
                          <w:szCs w:val="400"/>
                        </w:rPr>
                        <w:t>F</w:t>
                      </w:r>
                    </w:p>
                    <w:p w14:paraId="57E9DC90" w14:textId="77777777" w:rsidR="004F7142" w:rsidRDefault="004F7142" w:rsidP="004F7142">
                      <w:pPr>
                        <w:pStyle w:val="Pieddepage"/>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" strokecolor="white">
                <v:textbox>
                  <w:txbxContent>
                    <w:p w14:paraId="41BF5821" w14:textId="77777777" w:rsidR="004F7142" w:rsidRPr="007D6395" w:rsidRDefault="004F7142" w:rsidP="004F7142">
                      <w:pPr>
                        <w:jc w:val="center"/>
                        <w:rPr>
                          <w:rFonts w:ascii="Arial" w:hAnsi="Arial"/>
                          <w:sz w:val="32"/>
                          <w:szCs w:val="32"/>
                        </w:rPr>
                      </w:pPr>
                      <w:r>
                        <w:rPr>
                          <w:rFonts w:ascii="Arial" w:hAnsi="Arial"/>
                          <w:b/>
                          <w:color w:val="808080"/>
                          <w:sz w:val="32"/>
                          <w:szCs w:val="32"/>
                        </w:rPr>
                        <w:t>#IPU145</w:t>
                      </w:r>
                    </w:p>
                  </w:txbxContent>
                </v:textbox>
              </v:shape>
              <w10:wrap type="square"/>
            </v:group>
          </w:pict>
        </mc:Fallback>
      </mc:AlternateContent>
    </w:r>
  </w:p>
  <w:p w14:paraId="4C6541FE" w14:textId="742AFB4C" w:rsidR="006B374E" w:rsidRPr="004F7142" w:rsidRDefault="006B374E" w:rsidP="004F71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693581937"/>
      <w:docPartObj>
        <w:docPartGallery w:val="Page Numbers (Top of Page)"/>
        <w:docPartUnique/>
      </w:docPartObj>
    </w:sdtPr>
    <w:sdtEndPr>
      <w:rPr>
        <w:noProof/>
      </w:rPr>
    </w:sdtEndPr>
    <w:sdtContent>
      <w:p w14:paraId="28262D4C" w14:textId="1F6FC0F6" w:rsidR="00B01B94" w:rsidRPr="00B01B94" w:rsidRDefault="00B01B94" w:rsidP="00B01B94">
        <w:pPr>
          <w:pStyle w:val="En-tte"/>
          <w:tabs>
            <w:tab w:val="left" w:pos="7371"/>
          </w:tabs>
          <w:rPr>
            <w:rFonts w:ascii="Arial" w:hAnsi="Arial" w:cs="Arial"/>
            <w:sz w:val="20"/>
            <w:szCs w:val="20"/>
          </w:rPr>
        </w:pPr>
        <w:r>
          <w:rPr>
            <w:rFonts w:ascii="Arial" w:hAnsi="Arial" w:cs="Arial"/>
            <w:noProof/>
            <w:sz w:val="20"/>
            <w:szCs w:val="20"/>
          </w:rPr>
          <w:tab/>
        </w:r>
        <w:r w:rsidRPr="00B01B94">
          <w:rPr>
            <w:rFonts w:ascii="Arial" w:hAnsi="Arial" w:cs="Arial"/>
            <w:sz w:val="20"/>
            <w:szCs w:val="20"/>
          </w:rPr>
          <w:fldChar w:fldCharType="begin"/>
        </w:r>
        <w:r w:rsidRPr="00B01B94">
          <w:rPr>
            <w:rFonts w:ascii="Arial" w:hAnsi="Arial" w:cs="Arial"/>
            <w:sz w:val="20"/>
            <w:szCs w:val="20"/>
          </w:rPr>
          <w:instrText xml:space="preserve"> PAGE   \* MERGEFORMAT </w:instrText>
        </w:r>
        <w:r w:rsidRPr="00B01B94">
          <w:rPr>
            <w:rFonts w:ascii="Arial" w:hAnsi="Arial" w:cs="Arial"/>
            <w:sz w:val="20"/>
            <w:szCs w:val="20"/>
          </w:rPr>
          <w:fldChar w:fldCharType="separate"/>
        </w:r>
        <w:r w:rsidR="008F52C5">
          <w:rPr>
            <w:rFonts w:ascii="Arial" w:hAnsi="Arial" w:cs="Arial"/>
            <w:noProof/>
            <w:sz w:val="20"/>
            <w:szCs w:val="20"/>
          </w:rPr>
          <w:t>- 3 -</w:t>
        </w:r>
        <w:r w:rsidRPr="00B01B94">
          <w:rPr>
            <w:rFonts w:ascii="Arial" w:hAnsi="Arial" w:cs="Arial"/>
            <w:noProof/>
            <w:sz w:val="20"/>
            <w:szCs w:val="20"/>
          </w:rPr>
          <w:fldChar w:fldCharType="end"/>
        </w:r>
        <w:r>
          <w:rPr>
            <w:rFonts w:ascii="Arial" w:hAnsi="Arial" w:cs="Arial"/>
            <w:noProof/>
            <w:sz w:val="20"/>
            <w:szCs w:val="20"/>
          </w:rPr>
          <w:tab/>
        </w:r>
        <w:r w:rsidR="004F7142" w:rsidRPr="001E2192">
          <w:rPr>
            <w:rFonts w:ascii="Arial" w:eastAsia="Calibri" w:hAnsi="Arial" w:cs="Arial"/>
            <w:sz w:val="20"/>
            <w:szCs w:val="20"/>
            <w:lang w:val="fr-CH" w:eastAsia="en-US" w:bidi="ar-SA"/>
          </w:rPr>
          <w:t>C-III/14</w:t>
        </w:r>
        <w:r w:rsidR="004F7142">
          <w:rPr>
            <w:rFonts w:ascii="Arial" w:eastAsia="Calibri" w:hAnsi="Arial" w:cs="Arial"/>
            <w:sz w:val="20"/>
            <w:szCs w:val="20"/>
            <w:lang w:val="fr-CH" w:eastAsia="en-US" w:bidi="ar-SA"/>
          </w:rPr>
          <w:t>5</w:t>
        </w:r>
        <w:r w:rsidR="004F7142" w:rsidRPr="001E2192">
          <w:rPr>
            <w:rFonts w:ascii="Arial" w:eastAsia="Calibri" w:hAnsi="Arial" w:cs="Arial"/>
            <w:sz w:val="20"/>
            <w:szCs w:val="20"/>
            <w:lang w:val="fr-CH" w:eastAsia="en-US" w:bidi="ar-SA"/>
          </w:rPr>
          <w:t>/DR</w:t>
        </w:r>
      </w:p>
    </w:sdtContent>
  </w:sdt>
  <w:p w14:paraId="5BA496BF" w14:textId="77777777" w:rsidR="00B01B94" w:rsidRPr="00B01B94" w:rsidRDefault="00B01B94" w:rsidP="00B01B94">
    <w:pPr>
      <w:pStyle w:val="En-tte"/>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9C"/>
    <w:rsid w:val="00002058"/>
    <w:rsid w:val="0002316B"/>
    <w:rsid w:val="000336AC"/>
    <w:rsid w:val="000339A2"/>
    <w:rsid w:val="0003604C"/>
    <w:rsid w:val="00051DFF"/>
    <w:rsid w:val="0005427D"/>
    <w:rsid w:val="00063556"/>
    <w:rsid w:val="00064900"/>
    <w:rsid w:val="00084753"/>
    <w:rsid w:val="00096111"/>
    <w:rsid w:val="000A68B7"/>
    <w:rsid w:val="000B674E"/>
    <w:rsid w:val="000C0527"/>
    <w:rsid w:val="000D1061"/>
    <w:rsid w:val="000E6B52"/>
    <w:rsid w:val="000F5F9D"/>
    <w:rsid w:val="00107F57"/>
    <w:rsid w:val="0014286E"/>
    <w:rsid w:val="00147EA7"/>
    <w:rsid w:val="00150406"/>
    <w:rsid w:val="00157AB5"/>
    <w:rsid w:val="0016122A"/>
    <w:rsid w:val="00162031"/>
    <w:rsid w:val="00175637"/>
    <w:rsid w:val="00182D65"/>
    <w:rsid w:val="00183F57"/>
    <w:rsid w:val="00184FAC"/>
    <w:rsid w:val="00187EA0"/>
    <w:rsid w:val="00194F30"/>
    <w:rsid w:val="001C0120"/>
    <w:rsid w:val="001C0921"/>
    <w:rsid w:val="001D77BA"/>
    <w:rsid w:val="001E2192"/>
    <w:rsid w:val="001F3829"/>
    <w:rsid w:val="00210E87"/>
    <w:rsid w:val="00215402"/>
    <w:rsid w:val="0022684D"/>
    <w:rsid w:val="002305E2"/>
    <w:rsid w:val="00232108"/>
    <w:rsid w:val="0024186A"/>
    <w:rsid w:val="00243C9C"/>
    <w:rsid w:val="00245B89"/>
    <w:rsid w:val="00246DB1"/>
    <w:rsid w:val="002526B2"/>
    <w:rsid w:val="0025583E"/>
    <w:rsid w:val="002655D0"/>
    <w:rsid w:val="00270CA4"/>
    <w:rsid w:val="00272DC6"/>
    <w:rsid w:val="00282496"/>
    <w:rsid w:val="00292CEA"/>
    <w:rsid w:val="00293A26"/>
    <w:rsid w:val="002A626D"/>
    <w:rsid w:val="002B2F68"/>
    <w:rsid w:val="002C10B3"/>
    <w:rsid w:val="002C47AD"/>
    <w:rsid w:val="002E18C2"/>
    <w:rsid w:val="002E2FE9"/>
    <w:rsid w:val="002F06CF"/>
    <w:rsid w:val="002F0851"/>
    <w:rsid w:val="003220F6"/>
    <w:rsid w:val="00330A36"/>
    <w:rsid w:val="00333ED3"/>
    <w:rsid w:val="003431A3"/>
    <w:rsid w:val="0036241C"/>
    <w:rsid w:val="003705ED"/>
    <w:rsid w:val="00397FDA"/>
    <w:rsid w:val="003A09E2"/>
    <w:rsid w:val="003A1600"/>
    <w:rsid w:val="003B1997"/>
    <w:rsid w:val="003D214A"/>
    <w:rsid w:val="003D7D5E"/>
    <w:rsid w:val="003F4AC9"/>
    <w:rsid w:val="00415253"/>
    <w:rsid w:val="00415523"/>
    <w:rsid w:val="00415F1F"/>
    <w:rsid w:val="004164DA"/>
    <w:rsid w:val="00436085"/>
    <w:rsid w:val="0047289E"/>
    <w:rsid w:val="00487685"/>
    <w:rsid w:val="004973D2"/>
    <w:rsid w:val="004A26C9"/>
    <w:rsid w:val="004A7DBE"/>
    <w:rsid w:val="004B349F"/>
    <w:rsid w:val="004B4577"/>
    <w:rsid w:val="004C2D8F"/>
    <w:rsid w:val="004F19DE"/>
    <w:rsid w:val="004F7142"/>
    <w:rsid w:val="004F7AB6"/>
    <w:rsid w:val="005323B4"/>
    <w:rsid w:val="00563CDB"/>
    <w:rsid w:val="005821AE"/>
    <w:rsid w:val="005A0B2D"/>
    <w:rsid w:val="005A49F7"/>
    <w:rsid w:val="005A6E81"/>
    <w:rsid w:val="005B0B9E"/>
    <w:rsid w:val="005B4FC0"/>
    <w:rsid w:val="005B6A83"/>
    <w:rsid w:val="005C287F"/>
    <w:rsid w:val="006079E7"/>
    <w:rsid w:val="00610783"/>
    <w:rsid w:val="0061263B"/>
    <w:rsid w:val="00615419"/>
    <w:rsid w:val="00615D62"/>
    <w:rsid w:val="00626632"/>
    <w:rsid w:val="006278CF"/>
    <w:rsid w:val="00636CAF"/>
    <w:rsid w:val="00644386"/>
    <w:rsid w:val="00660023"/>
    <w:rsid w:val="00661E3C"/>
    <w:rsid w:val="00680991"/>
    <w:rsid w:val="00683172"/>
    <w:rsid w:val="006958CE"/>
    <w:rsid w:val="006B306F"/>
    <w:rsid w:val="006B374E"/>
    <w:rsid w:val="006D3864"/>
    <w:rsid w:val="006D5AF3"/>
    <w:rsid w:val="006F03AB"/>
    <w:rsid w:val="006F2213"/>
    <w:rsid w:val="006F295E"/>
    <w:rsid w:val="00704139"/>
    <w:rsid w:val="007109CB"/>
    <w:rsid w:val="00712121"/>
    <w:rsid w:val="0073111D"/>
    <w:rsid w:val="007375BC"/>
    <w:rsid w:val="00740AB0"/>
    <w:rsid w:val="007457E9"/>
    <w:rsid w:val="0074615E"/>
    <w:rsid w:val="00756356"/>
    <w:rsid w:val="0077688C"/>
    <w:rsid w:val="007A28FD"/>
    <w:rsid w:val="007A6B8E"/>
    <w:rsid w:val="007D4C25"/>
    <w:rsid w:val="007D71B1"/>
    <w:rsid w:val="007F57CD"/>
    <w:rsid w:val="0080775C"/>
    <w:rsid w:val="008218CF"/>
    <w:rsid w:val="008311FC"/>
    <w:rsid w:val="00853755"/>
    <w:rsid w:val="008637DD"/>
    <w:rsid w:val="00866F8C"/>
    <w:rsid w:val="008700A8"/>
    <w:rsid w:val="00876422"/>
    <w:rsid w:val="00892D50"/>
    <w:rsid w:val="008B3C33"/>
    <w:rsid w:val="008B6B78"/>
    <w:rsid w:val="008C26CE"/>
    <w:rsid w:val="008D533B"/>
    <w:rsid w:val="008E2EFE"/>
    <w:rsid w:val="008F1F3E"/>
    <w:rsid w:val="008F52C5"/>
    <w:rsid w:val="00910A8C"/>
    <w:rsid w:val="00911725"/>
    <w:rsid w:val="00943F7F"/>
    <w:rsid w:val="00944FC0"/>
    <w:rsid w:val="00954B8B"/>
    <w:rsid w:val="009637C3"/>
    <w:rsid w:val="00965239"/>
    <w:rsid w:val="0097391E"/>
    <w:rsid w:val="00977144"/>
    <w:rsid w:val="00984C84"/>
    <w:rsid w:val="00992F6F"/>
    <w:rsid w:val="009C4ED9"/>
    <w:rsid w:val="009D03E7"/>
    <w:rsid w:val="009D4EAC"/>
    <w:rsid w:val="009E234B"/>
    <w:rsid w:val="009F0691"/>
    <w:rsid w:val="009F7D62"/>
    <w:rsid w:val="00A03124"/>
    <w:rsid w:val="00A24F40"/>
    <w:rsid w:val="00A46A4D"/>
    <w:rsid w:val="00A52007"/>
    <w:rsid w:val="00A62CBC"/>
    <w:rsid w:val="00A70B59"/>
    <w:rsid w:val="00AA167C"/>
    <w:rsid w:val="00B01B94"/>
    <w:rsid w:val="00B02007"/>
    <w:rsid w:val="00B13603"/>
    <w:rsid w:val="00B34BBC"/>
    <w:rsid w:val="00B45D1B"/>
    <w:rsid w:val="00B5562B"/>
    <w:rsid w:val="00B902EC"/>
    <w:rsid w:val="00B92B81"/>
    <w:rsid w:val="00BA4FBD"/>
    <w:rsid w:val="00BB1BBE"/>
    <w:rsid w:val="00BC435C"/>
    <w:rsid w:val="00BD2683"/>
    <w:rsid w:val="00BE1EBE"/>
    <w:rsid w:val="00BE3EAB"/>
    <w:rsid w:val="00BF4F35"/>
    <w:rsid w:val="00C01025"/>
    <w:rsid w:val="00C132F8"/>
    <w:rsid w:val="00C14EEA"/>
    <w:rsid w:val="00C3500A"/>
    <w:rsid w:val="00C3715F"/>
    <w:rsid w:val="00C37260"/>
    <w:rsid w:val="00C42674"/>
    <w:rsid w:val="00C568D1"/>
    <w:rsid w:val="00C57FE9"/>
    <w:rsid w:val="00C64013"/>
    <w:rsid w:val="00C65211"/>
    <w:rsid w:val="00C8589B"/>
    <w:rsid w:val="00C85C9A"/>
    <w:rsid w:val="00C96D7D"/>
    <w:rsid w:val="00CB15F2"/>
    <w:rsid w:val="00CB2BC1"/>
    <w:rsid w:val="00CB41F3"/>
    <w:rsid w:val="00CB5034"/>
    <w:rsid w:val="00CC14A2"/>
    <w:rsid w:val="00CC6CF7"/>
    <w:rsid w:val="00CD60D6"/>
    <w:rsid w:val="00CE1A95"/>
    <w:rsid w:val="00CE1E4A"/>
    <w:rsid w:val="00CF7426"/>
    <w:rsid w:val="00D109DA"/>
    <w:rsid w:val="00D2751D"/>
    <w:rsid w:val="00D37CA3"/>
    <w:rsid w:val="00D53574"/>
    <w:rsid w:val="00D82583"/>
    <w:rsid w:val="00D95AE0"/>
    <w:rsid w:val="00DB65F0"/>
    <w:rsid w:val="00DC1928"/>
    <w:rsid w:val="00DC19D9"/>
    <w:rsid w:val="00DC5B99"/>
    <w:rsid w:val="00DD709C"/>
    <w:rsid w:val="00DE4FE3"/>
    <w:rsid w:val="00E050C0"/>
    <w:rsid w:val="00E05707"/>
    <w:rsid w:val="00E2382D"/>
    <w:rsid w:val="00E33909"/>
    <w:rsid w:val="00E62625"/>
    <w:rsid w:val="00E9475B"/>
    <w:rsid w:val="00EA470D"/>
    <w:rsid w:val="00EA6869"/>
    <w:rsid w:val="00EC2EA7"/>
    <w:rsid w:val="00ED27E7"/>
    <w:rsid w:val="00ED3D27"/>
    <w:rsid w:val="00ED5238"/>
    <w:rsid w:val="00ED7C9B"/>
    <w:rsid w:val="00EE710E"/>
    <w:rsid w:val="00EF0A88"/>
    <w:rsid w:val="00EF4F8A"/>
    <w:rsid w:val="00F1188D"/>
    <w:rsid w:val="00F22342"/>
    <w:rsid w:val="00F349B0"/>
    <w:rsid w:val="00F414B4"/>
    <w:rsid w:val="00F7694D"/>
    <w:rsid w:val="00F97E1D"/>
    <w:rsid w:val="00FB03E1"/>
    <w:rsid w:val="00FB77DE"/>
    <w:rsid w:val="00FC09D7"/>
    <w:rsid w:val="00FE0B42"/>
    <w:rsid w:val="00FF29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06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9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709C"/>
    <w:pPr>
      <w:tabs>
        <w:tab w:val="center" w:pos="4680"/>
        <w:tab w:val="right" w:pos="9360"/>
      </w:tabs>
    </w:pPr>
  </w:style>
  <w:style w:type="character" w:customStyle="1" w:styleId="En-tteCar">
    <w:name w:val="En-tête Car"/>
    <w:basedOn w:val="Policepardfaut"/>
    <w:link w:val="En-tte"/>
    <w:uiPriority w:val="99"/>
    <w:rsid w:val="00DD709C"/>
  </w:style>
  <w:style w:type="paragraph" w:styleId="Pieddepage">
    <w:name w:val="footer"/>
    <w:basedOn w:val="Normal"/>
    <w:link w:val="PieddepageCar"/>
    <w:uiPriority w:val="99"/>
    <w:unhideWhenUsed/>
    <w:rsid w:val="00DD709C"/>
    <w:pPr>
      <w:tabs>
        <w:tab w:val="center" w:pos="4680"/>
        <w:tab w:val="right" w:pos="9360"/>
      </w:tabs>
    </w:pPr>
  </w:style>
  <w:style w:type="character" w:customStyle="1" w:styleId="PieddepageCar">
    <w:name w:val="Pied de page Car"/>
    <w:basedOn w:val="Policepardfaut"/>
    <w:link w:val="Pieddepage"/>
    <w:uiPriority w:val="99"/>
    <w:rsid w:val="00DD709C"/>
  </w:style>
  <w:style w:type="paragraph" w:styleId="NormalWeb">
    <w:name w:val="Normal (Web)"/>
    <w:basedOn w:val="Normal"/>
    <w:uiPriority w:val="99"/>
    <w:unhideWhenUsed/>
    <w:rsid w:val="00DD709C"/>
    <w:pPr>
      <w:spacing w:before="100" w:beforeAutospacing="1" w:after="100" w:afterAutospacing="1"/>
    </w:pPr>
    <w:rPr>
      <w:rFonts w:ascii="Times New Roman" w:eastAsia="Times New Roman" w:hAnsi="Times New Roman" w:cs="Times New Roman"/>
    </w:rPr>
  </w:style>
  <w:style w:type="paragraph" w:styleId="Notedebasdepage">
    <w:name w:val="footnote text"/>
    <w:basedOn w:val="Normal"/>
    <w:link w:val="NotedebasdepageCar"/>
    <w:uiPriority w:val="99"/>
    <w:unhideWhenUsed/>
    <w:rsid w:val="00DD709C"/>
    <w:rPr>
      <w:sz w:val="20"/>
      <w:szCs w:val="20"/>
    </w:rPr>
  </w:style>
  <w:style w:type="character" w:customStyle="1" w:styleId="NotedebasdepageCar">
    <w:name w:val="Note de bas de page Car"/>
    <w:basedOn w:val="Policepardfaut"/>
    <w:link w:val="Notedebasdepage"/>
    <w:uiPriority w:val="99"/>
    <w:rsid w:val="00DD709C"/>
    <w:rPr>
      <w:sz w:val="20"/>
      <w:szCs w:val="20"/>
    </w:rPr>
  </w:style>
  <w:style w:type="character" w:styleId="Appelnotedebasdep">
    <w:name w:val="footnote reference"/>
    <w:basedOn w:val="Policepardfaut"/>
    <w:uiPriority w:val="99"/>
    <w:semiHidden/>
    <w:unhideWhenUsed/>
    <w:rsid w:val="00DD709C"/>
    <w:rPr>
      <w:vertAlign w:val="superscript"/>
    </w:rPr>
  </w:style>
  <w:style w:type="paragraph" w:styleId="Textedebulles">
    <w:name w:val="Balloon Text"/>
    <w:basedOn w:val="Normal"/>
    <w:link w:val="TextedebullesCar"/>
    <w:uiPriority w:val="99"/>
    <w:semiHidden/>
    <w:unhideWhenUsed/>
    <w:rsid w:val="00182D65"/>
    <w:rPr>
      <w:rFonts w:ascii="Tahoma" w:hAnsi="Tahoma" w:cs="Tahoma"/>
      <w:sz w:val="16"/>
      <w:szCs w:val="16"/>
    </w:rPr>
  </w:style>
  <w:style w:type="character" w:customStyle="1" w:styleId="TextedebullesCar">
    <w:name w:val="Texte de bulles Car"/>
    <w:basedOn w:val="Policepardfaut"/>
    <w:link w:val="Textedebulles"/>
    <w:uiPriority w:val="99"/>
    <w:semiHidden/>
    <w:rsid w:val="00182D65"/>
    <w:rPr>
      <w:rFonts w:ascii="Tahoma" w:hAnsi="Tahoma" w:cs="Tahoma"/>
      <w:sz w:val="16"/>
      <w:szCs w:val="16"/>
    </w:rPr>
  </w:style>
  <w:style w:type="character" w:styleId="Marquedecommentaire">
    <w:name w:val="annotation reference"/>
    <w:basedOn w:val="Policepardfaut"/>
    <w:uiPriority w:val="99"/>
    <w:semiHidden/>
    <w:unhideWhenUsed/>
    <w:rsid w:val="008218CF"/>
    <w:rPr>
      <w:sz w:val="16"/>
      <w:szCs w:val="16"/>
    </w:rPr>
  </w:style>
  <w:style w:type="paragraph" w:styleId="Commentaire">
    <w:name w:val="annotation text"/>
    <w:basedOn w:val="Normal"/>
    <w:link w:val="CommentaireCar"/>
    <w:uiPriority w:val="99"/>
    <w:unhideWhenUsed/>
    <w:rsid w:val="008218CF"/>
    <w:rPr>
      <w:sz w:val="20"/>
      <w:szCs w:val="20"/>
    </w:rPr>
  </w:style>
  <w:style w:type="character" w:customStyle="1" w:styleId="CommentaireCar">
    <w:name w:val="Commentaire Car"/>
    <w:basedOn w:val="Policepardfaut"/>
    <w:link w:val="Commentaire"/>
    <w:uiPriority w:val="99"/>
    <w:rsid w:val="008218CF"/>
    <w:rPr>
      <w:sz w:val="20"/>
      <w:szCs w:val="20"/>
    </w:rPr>
  </w:style>
  <w:style w:type="paragraph" w:styleId="Objetducommentaire">
    <w:name w:val="annotation subject"/>
    <w:basedOn w:val="Commentaire"/>
    <w:next w:val="Commentaire"/>
    <w:link w:val="ObjetducommentaireCar"/>
    <w:uiPriority w:val="99"/>
    <w:semiHidden/>
    <w:unhideWhenUsed/>
    <w:rsid w:val="008218CF"/>
    <w:rPr>
      <w:b/>
      <w:bCs/>
    </w:rPr>
  </w:style>
  <w:style w:type="character" w:customStyle="1" w:styleId="ObjetducommentaireCar">
    <w:name w:val="Objet du commentaire Car"/>
    <w:basedOn w:val="CommentaireCar"/>
    <w:link w:val="Objetducommentaire"/>
    <w:uiPriority w:val="99"/>
    <w:semiHidden/>
    <w:rsid w:val="008218CF"/>
    <w:rPr>
      <w:b/>
      <w:bCs/>
      <w:sz w:val="20"/>
      <w:szCs w:val="20"/>
    </w:rPr>
  </w:style>
  <w:style w:type="character" w:styleId="Lienhypertexte">
    <w:name w:val="Hyperlink"/>
    <w:basedOn w:val="Policepardfaut"/>
    <w:uiPriority w:val="99"/>
    <w:unhideWhenUsed/>
    <w:rsid w:val="008218CF"/>
    <w:rPr>
      <w:color w:val="0000FF" w:themeColor="hyperlink"/>
      <w:u w:val="single"/>
    </w:rPr>
  </w:style>
  <w:style w:type="character" w:customStyle="1" w:styleId="Mentionnonrsolue1">
    <w:name w:val="Mention non résolue1"/>
    <w:basedOn w:val="Policepardfaut"/>
    <w:uiPriority w:val="99"/>
    <w:semiHidden/>
    <w:unhideWhenUsed/>
    <w:rsid w:val="008218CF"/>
    <w:rPr>
      <w:color w:val="605E5C"/>
      <w:shd w:val="clear" w:color="auto" w:fill="E1DFDD"/>
    </w:rPr>
  </w:style>
  <w:style w:type="paragraph" w:styleId="Rvision">
    <w:name w:val="Revision"/>
    <w:hidden/>
    <w:uiPriority w:val="99"/>
    <w:semiHidden/>
    <w:rsid w:val="0061263B"/>
    <w:pPr>
      <w:spacing w:after="0" w:line="240" w:lineRule="auto"/>
    </w:pPr>
    <w:rPr>
      <w:sz w:val="24"/>
      <w:szCs w:val="24"/>
    </w:rPr>
  </w:style>
  <w:style w:type="character" w:styleId="Lienhypertextesuivivisit">
    <w:name w:val="FollowedHyperlink"/>
    <w:basedOn w:val="Policepardfaut"/>
    <w:uiPriority w:val="99"/>
    <w:semiHidden/>
    <w:unhideWhenUsed/>
    <w:rsid w:val="007457E9"/>
    <w:rPr>
      <w:color w:val="800080" w:themeColor="followedHyperlink"/>
      <w:u w:val="single"/>
    </w:rPr>
  </w:style>
  <w:style w:type="paragraph" w:customStyle="1" w:styleId="paragraph">
    <w:name w:val="paragraph"/>
    <w:basedOn w:val="Normal"/>
    <w:rsid w:val="00245B89"/>
    <w:pPr>
      <w:spacing w:before="100" w:beforeAutospacing="1" w:after="100" w:afterAutospacing="1"/>
    </w:pPr>
    <w:rPr>
      <w:rFonts w:ascii="Arial" w:eastAsia="Times New Roman" w:hAnsi="Arial" w:cs="Times New Roman"/>
      <w:sz w:val="20"/>
      <w:lang w:val="nl-NL" w:eastAsia="nl-NL" w:bidi="ar-SA"/>
    </w:rPr>
  </w:style>
  <w:style w:type="character" w:customStyle="1" w:styleId="normaltextrun">
    <w:name w:val="normaltextrun"/>
    <w:basedOn w:val="Policepardfaut"/>
    <w:rsid w:val="00245B89"/>
    <w:rPr>
      <w:rFonts w:ascii="Arial" w:hAnsi="Arial"/>
      <w:sz w:val="20"/>
    </w:rPr>
  </w:style>
  <w:style w:type="paragraph" w:customStyle="1" w:styleId="Default">
    <w:name w:val="Default"/>
    <w:rsid w:val="00712121"/>
    <w:pPr>
      <w:autoSpaceDE w:val="0"/>
      <w:autoSpaceDN w:val="0"/>
      <w:adjustRightInd w:val="0"/>
      <w:spacing w:after="0" w:line="240" w:lineRule="auto"/>
    </w:pPr>
    <w:rPr>
      <w:rFonts w:ascii="Arial" w:hAnsi="Arial" w:cs="Arial"/>
      <w:color w:val="000000"/>
      <w:sz w:val="24"/>
      <w:szCs w:val="24"/>
      <w:lang w:val="fr-CH" w:bidi="ar-SA"/>
    </w:rPr>
  </w:style>
  <w:style w:type="paragraph" w:customStyle="1" w:styleId="Text">
    <w:name w:val="Text"/>
    <w:basedOn w:val="Normal"/>
    <w:qFormat/>
    <w:rsid w:val="00CF7426"/>
    <w:pPr>
      <w:spacing w:after="294" w:line="294" w:lineRule="atLeast"/>
    </w:pPr>
    <w:rPr>
      <w:rFonts w:ascii="Milo Serif Offc" w:eastAsia="Calibri" w:hAnsi="Milo Serif Offc" w:cs="Times New Roman"/>
      <w:sz w:val="22"/>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899">
      <w:bodyDiv w:val="1"/>
      <w:marLeft w:val="0"/>
      <w:marRight w:val="0"/>
      <w:marTop w:val="0"/>
      <w:marBottom w:val="0"/>
      <w:divBdr>
        <w:top w:val="none" w:sz="0" w:space="0" w:color="auto"/>
        <w:left w:val="none" w:sz="0" w:space="0" w:color="auto"/>
        <w:bottom w:val="none" w:sz="0" w:space="0" w:color="auto"/>
        <w:right w:val="none" w:sz="0" w:space="0" w:color="auto"/>
      </w:divBdr>
    </w:div>
    <w:div w:id="854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32DEA-6AD6-4A8A-8A70-3D49BD6F21B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93d8a23-fb4a-404c-8f20-5db9a0662cc5"/>
    <ds:schemaRef ds:uri="http://www.w3.org/XML/1998/namespace"/>
  </ds:schemaRefs>
</ds:datastoreItem>
</file>

<file path=customXml/itemProps2.xml><?xml version="1.0" encoding="utf-8"?>
<ds:datastoreItem xmlns:ds="http://schemas.openxmlformats.org/officeDocument/2006/customXml" ds:itemID="{EB688EC7-767E-4C90-8ACA-B305DF132560}">
  <ds:schemaRefs>
    <ds:schemaRef ds:uri="http://schemas.microsoft.com/sharepoint/v3/contenttype/forms"/>
  </ds:schemaRefs>
</ds:datastoreItem>
</file>

<file path=customXml/itemProps3.xml><?xml version="1.0" encoding="utf-8"?>
<ds:datastoreItem xmlns:ds="http://schemas.openxmlformats.org/officeDocument/2006/customXml" ds:itemID="{B804B307-A0E8-40A1-B211-B5D42D8DA3B5}">
  <ds:schemaRefs>
    <ds:schemaRef ds:uri="http://schemas.openxmlformats.org/officeDocument/2006/bibliography"/>
  </ds:schemaRefs>
</ds:datastoreItem>
</file>

<file path=customXml/itemProps4.xml><?xml version="1.0" encoding="utf-8"?>
<ds:datastoreItem xmlns:ds="http://schemas.openxmlformats.org/officeDocument/2006/customXml" ds:itemID="{CF77A0ED-E2BB-4C3A-8327-53293272A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7191</Characters>
  <Application>Microsoft Office Word</Application>
  <DocSecurity>0</DocSecurity>
  <Lines>59</Lines>
  <Paragraphs>16</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2021-08-19T08:25:00Z</dcterms:created>
  <dcterms:modified xsi:type="dcterms:W3CDTF">2022-08-17T12:09:00Z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