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F2E4" w14:textId="73B2F2E4" w:rsidR="006403E3" w:rsidRPr="00141643" w:rsidRDefault="006403E3" w:rsidP="00222116">
      <w:pPr>
        <w:pStyle w:val="Default"/>
        <w:tabs>
          <w:tab w:val="left" w:pos="6804"/>
        </w:tabs>
        <w:rPr>
          <w:sz w:val="20"/>
          <w:szCs w:val="20"/>
          <w:lang w:val="fr-CH"/>
        </w:rPr>
      </w:pPr>
      <w:bookmarkStart w:id="0" w:name="_Hlk155183948"/>
      <w:r w:rsidRPr="00141643">
        <w:rPr>
          <w:sz w:val="20"/>
          <w:szCs w:val="20"/>
        </w:rPr>
        <w:t>Commission permanente</w:t>
      </w:r>
      <w:r w:rsidRPr="00141643">
        <w:rPr>
          <w:sz w:val="20"/>
          <w:szCs w:val="20"/>
          <w:lang w:val="fr-CH"/>
        </w:rPr>
        <w:tab/>
        <w:t>C-I/148/DR</w:t>
      </w:r>
    </w:p>
    <w:p w14:paraId="5A451E3F" w14:textId="7C5B1E73" w:rsidR="006403E3" w:rsidRPr="00141643" w:rsidRDefault="006403E3" w:rsidP="00222116">
      <w:pPr>
        <w:pStyle w:val="Default"/>
        <w:tabs>
          <w:tab w:val="left" w:pos="6804"/>
        </w:tabs>
        <w:rPr>
          <w:sz w:val="20"/>
          <w:szCs w:val="20"/>
          <w:lang w:val="fr-CH"/>
        </w:rPr>
      </w:pPr>
      <w:r w:rsidRPr="00141643">
        <w:rPr>
          <w:sz w:val="20"/>
          <w:szCs w:val="20"/>
        </w:rPr>
        <w:t>de la paix et de la sécurité internationale</w:t>
      </w:r>
      <w:r w:rsidRPr="00141643">
        <w:rPr>
          <w:sz w:val="20"/>
          <w:szCs w:val="20"/>
          <w:lang w:val="fr-CH"/>
        </w:rPr>
        <w:tab/>
      </w:r>
      <w:r w:rsidR="00141643" w:rsidRPr="00141643">
        <w:rPr>
          <w:sz w:val="20"/>
          <w:szCs w:val="20"/>
          <w:lang w:val="fr-CH"/>
        </w:rPr>
        <w:t xml:space="preserve">18 </w:t>
      </w:r>
      <w:r w:rsidRPr="00141643">
        <w:rPr>
          <w:sz w:val="20"/>
          <w:szCs w:val="20"/>
          <w:lang w:val="fr-CH"/>
        </w:rPr>
        <w:t>janvier 2024</w:t>
      </w:r>
    </w:p>
    <w:p w14:paraId="28A635D3" w14:textId="77777777" w:rsidR="006403E3" w:rsidRPr="00141643" w:rsidRDefault="006403E3" w:rsidP="006403E3">
      <w:pPr>
        <w:pStyle w:val="Default"/>
        <w:jc w:val="center"/>
        <w:rPr>
          <w:b/>
          <w:i/>
          <w:sz w:val="16"/>
          <w:szCs w:val="16"/>
          <w:lang w:val="fr-CH"/>
        </w:rPr>
      </w:pPr>
    </w:p>
    <w:p w14:paraId="0B6B9874" w14:textId="24DA0DFD" w:rsidR="006403E3" w:rsidRPr="00141643" w:rsidRDefault="006403E3" w:rsidP="006403E3">
      <w:pPr>
        <w:spacing w:line="240" w:lineRule="auto"/>
        <w:jc w:val="center"/>
        <w:rPr>
          <w:b/>
          <w:color w:val="005F9A"/>
          <w:sz w:val="36"/>
          <w:szCs w:val="36"/>
          <w:lang w:val="fr-CH"/>
        </w:rPr>
      </w:pPr>
      <w:r w:rsidRPr="00141643">
        <w:rPr>
          <w:b/>
          <w:bCs/>
          <w:color w:val="005F9A"/>
          <w:sz w:val="36"/>
          <w:szCs w:val="36"/>
        </w:rPr>
        <w:t>L'impact social et humanitaire des systèmes d'armes autonomes et de l'intelligence artificielle</w:t>
      </w:r>
    </w:p>
    <w:p w14:paraId="39C4417B" w14:textId="77777777" w:rsidR="006403E3" w:rsidRPr="00141643" w:rsidRDefault="006403E3" w:rsidP="006403E3">
      <w:pPr>
        <w:pStyle w:val="Default"/>
        <w:rPr>
          <w:sz w:val="12"/>
          <w:szCs w:val="12"/>
          <w:lang w:val="fr-CH"/>
        </w:rPr>
      </w:pPr>
    </w:p>
    <w:p w14:paraId="3910CD06" w14:textId="77777777" w:rsidR="006403E3" w:rsidRPr="00141643" w:rsidRDefault="006403E3" w:rsidP="006403E3">
      <w:pPr>
        <w:spacing w:line="240" w:lineRule="auto"/>
        <w:jc w:val="center"/>
        <w:outlineLvl w:val="0"/>
        <w:rPr>
          <w:b/>
          <w:i/>
          <w:sz w:val="20"/>
          <w:szCs w:val="20"/>
          <w:lang w:val="fr-CH"/>
        </w:rPr>
      </w:pPr>
      <w:r w:rsidRPr="00141643">
        <w:rPr>
          <w:b/>
          <w:i/>
          <w:sz w:val="20"/>
          <w:szCs w:val="20"/>
          <w:u w:val="single"/>
          <w:lang w:val="fr-CH"/>
        </w:rPr>
        <w:t>Projet de résolution</w:t>
      </w:r>
      <w:r w:rsidRPr="00141643">
        <w:rPr>
          <w:b/>
          <w:i/>
          <w:sz w:val="20"/>
          <w:szCs w:val="20"/>
          <w:lang w:val="fr-CH"/>
        </w:rPr>
        <w:t xml:space="preserve"> présenté par les </w:t>
      </w:r>
      <w:proofErr w:type="spellStart"/>
      <w:r w:rsidRPr="00141643">
        <w:rPr>
          <w:b/>
          <w:i/>
          <w:sz w:val="20"/>
          <w:szCs w:val="20"/>
          <w:lang w:val="fr-CH"/>
        </w:rPr>
        <w:t>co-rapporteurs</w:t>
      </w:r>
      <w:proofErr w:type="spellEnd"/>
    </w:p>
    <w:p w14:paraId="549621A4" w14:textId="4CD1EDEC" w:rsidR="006403E3" w:rsidRPr="00141643" w:rsidRDefault="006403E3" w:rsidP="006403E3">
      <w:pPr>
        <w:spacing w:line="240" w:lineRule="auto"/>
        <w:jc w:val="center"/>
        <w:outlineLvl w:val="0"/>
        <w:rPr>
          <w:b/>
          <w:i/>
          <w:sz w:val="20"/>
          <w:szCs w:val="20"/>
          <w:lang w:val="fr-CH"/>
        </w:rPr>
      </w:pPr>
      <w:r w:rsidRPr="00141643">
        <w:rPr>
          <w:b/>
          <w:i/>
          <w:sz w:val="20"/>
          <w:szCs w:val="20"/>
          <w:lang w:val="fr-CH"/>
        </w:rPr>
        <w:t xml:space="preserve">Mme M. </w:t>
      </w:r>
      <w:proofErr w:type="spellStart"/>
      <w:r w:rsidRPr="00141643">
        <w:rPr>
          <w:b/>
          <w:i/>
          <w:sz w:val="20"/>
          <w:szCs w:val="20"/>
          <w:lang w:val="fr-CH"/>
        </w:rPr>
        <w:t>Stolbizer</w:t>
      </w:r>
      <w:proofErr w:type="spellEnd"/>
      <w:r w:rsidRPr="00141643">
        <w:rPr>
          <w:b/>
          <w:i/>
          <w:sz w:val="20"/>
          <w:szCs w:val="20"/>
          <w:lang w:val="fr-CH"/>
        </w:rPr>
        <w:t xml:space="preserve"> (Argentine) et M. C. Lacroix (Belgique) </w:t>
      </w:r>
    </w:p>
    <w:p w14:paraId="1E956ED7" w14:textId="77777777" w:rsidR="006403E3" w:rsidRPr="00141643" w:rsidRDefault="006403E3" w:rsidP="006403E3">
      <w:pPr>
        <w:ind w:firstLine="720"/>
        <w:jc w:val="both"/>
        <w:rPr>
          <w:b/>
          <w:bCs/>
          <w:sz w:val="16"/>
          <w:szCs w:val="16"/>
          <w:lang w:val="fr-CH"/>
        </w:rPr>
      </w:pPr>
    </w:p>
    <w:bookmarkEnd w:id="0"/>
    <w:p w14:paraId="65C9F4E9" w14:textId="77777777" w:rsidR="006403E3" w:rsidRPr="00141643" w:rsidRDefault="006403E3" w:rsidP="006403E3">
      <w:pPr>
        <w:tabs>
          <w:tab w:val="left" w:pos="1134"/>
        </w:tabs>
        <w:jc w:val="both"/>
        <w:rPr>
          <w:sz w:val="20"/>
          <w:szCs w:val="20"/>
          <w:lang w:val="fr-CH"/>
        </w:rPr>
      </w:pPr>
      <w:r w:rsidRPr="00141643">
        <w:rPr>
          <w:sz w:val="20"/>
          <w:szCs w:val="20"/>
          <w:lang w:val="fr-CH"/>
        </w:rPr>
        <w:tab/>
        <w:t>La 148</w:t>
      </w:r>
      <w:r w:rsidRPr="00141643">
        <w:rPr>
          <w:sz w:val="20"/>
          <w:szCs w:val="20"/>
          <w:vertAlign w:val="superscript"/>
          <w:lang w:val="fr-CH"/>
        </w:rPr>
        <w:t>e</w:t>
      </w:r>
      <w:r w:rsidRPr="00141643">
        <w:rPr>
          <w:sz w:val="20"/>
          <w:szCs w:val="20"/>
          <w:lang w:val="fr-CH"/>
        </w:rPr>
        <w:t xml:space="preserve"> Assemblée de l'Union interparlementaire,</w:t>
      </w:r>
    </w:p>
    <w:p w14:paraId="07491AD7" w14:textId="77777777" w:rsidR="00631CAF" w:rsidRPr="00141643" w:rsidRDefault="00631CAF"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y2iqfc"/>
          <w:rFonts w:ascii="Arial" w:hAnsi="Arial" w:cs="Arial"/>
          <w:b/>
          <w:bCs/>
          <w:color w:val="202124"/>
          <w:sz w:val="12"/>
          <w:szCs w:val="12"/>
          <w:u w:val="single"/>
        </w:rPr>
      </w:pPr>
    </w:p>
    <w:p w14:paraId="1A974D53" w14:textId="6F2B7FB1" w:rsidR="00631CAF" w:rsidRPr="00141643" w:rsidRDefault="00B17DD0"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color w:val="202124"/>
        </w:rPr>
      </w:pPr>
      <w:r w:rsidRPr="00141643">
        <w:rPr>
          <w:rStyle w:val="y2iqfc"/>
          <w:rFonts w:ascii="Arial" w:hAnsi="Arial"/>
          <w:iCs/>
          <w:color w:val="202124"/>
        </w:rPr>
        <w:t>1)</w:t>
      </w:r>
      <w:r w:rsidRPr="00141643">
        <w:rPr>
          <w:rStyle w:val="y2iqfc"/>
          <w:rFonts w:ascii="Arial" w:hAnsi="Arial"/>
          <w:i/>
          <w:color w:val="202124"/>
        </w:rPr>
        <w:t xml:space="preserve"> </w:t>
      </w:r>
      <w:r w:rsidR="006403E3" w:rsidRPr="00141643">
        <w:rPr>
          <w:rStyle w:val="y2iqfc"/>
          <w:rFonts w:ascii="Arial" w:hAnsi="Arial"/>
          <w:i/>
          <w:color w:val="202124"/>
        </w:rPr>
        <w:tab/>
      </w:r>
      <w:r w:rsidRPr="00141643">
        <w:rPr>
          <w:rStyle w:val="y2iqfc"/>
          <w:rFonts w:ascii="Arial" w:hAnsi="Arial"/>
          <w:i/>
          <w:color w:val="202124"/>
        </w:rPr>
        <w:t xml:space="preserve">consciente </w:t>
      </w:r>
      <w:r w:rsidRPr="00141643">
        <w:rPr>
          <w:rStyle w:val="y2iqfc"/>
          <w:rFonts w:ascii="Arial" w:hAnsi="Arial"/>
          <w:color w:val="202124"/>
        </w:rPr>
        <w:t>que les nouvelles technologies font peser une véritable menace sur la paix et la sécurité internationales et soulèvent de nouvelles questions sur le rôle de l</w:t>
      </w:r>
      <w:r w:rsidR="002F7D24" w:rsidRPr="00141643">
        <w:rPr>
          <w:rStyle w:val="y2iqfc"/>
          <w:rFonts w:ascii="Arial" w:hAnsi="Arial"/>
          <w:color w:val="202124"/>
        </w:rPr>
        <w:t>’</w:t>
      </w:r>
      <w:r w:rsidRPr="00141643">
        <w:rPr>
          <w:rStyle w:val="y2iqfc"/>
          <w:rFonts w:ascii="Arial" w:hAnsi="Arial"/>
          <w:color w:val="202124"/>
        </w:rPr>
        <w:t xml:space="preserve">homme dans la guerre, </w:t>
      </w:r>
      <w:r w:rsidR="00EE79FF" w:rsidRPr="00141643">
        <w:rPr>
          <w:rStyle w:val="cf01"/>
          <w:rFonts w:ascii="Arial" w:hAnsi="Arial"/>
          <w:sz w:val="20"/>
        </w:rPr>
        <w:t>que pour réglementer l'autonomie des systèmes d'armes, il faut saisir pleinement l'impact d'une telle autonomie,</w:t>
      </w:r>
      <w:r w:rsidR="00D218B4" w:rsidRPr="00141643">
        <w:rPr>
          <w:rStyle w:val="y2iqfc"/>
        </w:rPr>
        <w:t xml:space="preserve"> </w:t>
      </w:r>
      <w:r w:rsidRPr="00141643">
        <w:rPr>
          <w:rStyle w:val="y2iqfc"/>
          <w:rFonts w:ascii="Arial" w:hAnsi="Arial"/>
          <w:color w:val="202124"/>
        </w:rPr>
        <w:t>et que le processus de prise de décision et de contrôle par l</w:t>
      </w:r>
      <w:r w:rsidR="002F7D24" w:rsidRPr="00141643">
        <w:rPr>
          <w:rStyle w:val="y2iqfc"/>
          <w:rFonts w:ascii="Arial" w:hAnsi="Arial"/>
          <w:color w:val="202124"/>
        </w:rPr>
        <w:t>’</w:t>
      </w:r>
      <w:r w:rsidRPr="00141643">
        <w:rPr>
          <w:rStyle w:val="y2iqfc"/>
          <w:rFonts w:ascii="Arial" w:hAnsi="Arial"/>
          <w:color w:val="202124"/>
        </w:rPr>
        <w:t>homme doit tenir compte de l</w:t>
      </w:r>
      <w:r w:rsidR="002F7D24" w:rsidRPr="00141643">
        <w:rPr>
          <w:rStyle w:val="y2iqfc"/>
          <w:rFonts w:ascii="Arial" w:hAnsi="Arial"/>
          <w:color w:val="202124"/>
        </w:rPr>
        <w:t>’</w:t>
      </w:r>
      <w:r w:rsidRPr="00141643">
        <w:rPr>
          <w:rStyle w:val="y2iqfc"/>
          <w:rFonts w:ascii="Arial" w:hAnsi="Arial"/>
          <w:color w:val="202124"/>
        </w:rPr>
        <w:t xml:space="preserve">ensemble des </w:t>
      </w:r>
      <w:r w:rsidR="005F6AC6" w:rsidRPr="00141643">
        <w:rPr>
          <w:rStyle w:val="y2iqfc"/>
          <w:rFonts w:ascii="Arial" w:hAnsi="Arial"/>
          <w:color w:val="202124"/>
        </w:rPr>
        <w:t>conséquences</w:t>
      </w:r>
      <w:r w:rsidRPr="00141643">
        <w:rPr>
          <w:rStyle w:val="y2iqfc"/>
          <w:rFonts w:ascii="Arial" w:hAnsi="Arial"/>
          <w:color w:val="202124"/>
        </w:rPr>
        <w:t xml:space="preserve"> éthiques, juridiques, humanitaires et sécuritaires,</w:t>
      </w:r>
    </w:p>
    <w:p w14:paraId="397E2ADD" w14:textId="77777777" w:rsidR="00631CAF" w:rsidRPr="00141643" w:rsidRDefault="00631CAF"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color w:val="202124"/>
          <w:sz w:val="18"/>
          <w:szCs w:val="18"/>
        </w:rPr>
      </w:pPr>
    </w:p>
    <w:p w14:paraId="383F4597" w14:textId="61051D3E" w:rsidR="00631CAF" w:rsidRPr="00141643" w:rsidRDefault="00B17DD0"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color w:val="202124"/>
        </w:rPr>
      </w:pPr>
      <w:r w:rsidRPr="00141643">
        <w:rPr>
          <w:rStyle w:val="y2iqfc"/>
          <w:rFonts w:ascii="Arial" w:hAnsi="Arial"/>
          <w:color w:val="202124"/>
        </w:rPr>
        <w:t xml:space="preserve">2) </w:t>
      </w:r>
      <w:r w:rsidR="006403E3" w:rsidRPr="00141643">
        <w:rPr>
          <w:rStyle w:val="y2iqfc"/>
          <w:rFonts w:ascii="Arial" w:hAnsi="Arial"/>
          <w:color w:val="202124"/>
        </w:rPr>
        <w:tab/>
      </w:r>
      <w:r w:rsidRPr="00141643">
        <w:rPr>
          <w:rStyle w:val="y2iqfc"/>
          <w:rFonts w:ascii="Arial" w:hAnsi="Arial"/>
          <w:i/>
          <w:color w:val="202124"/>
        </w:rPr>
        <w:t>prenant acte</w:t>
      </w:r>
      <w:r w:rsidRPr="00141643">
        <w:rPr>
          <w:rStyle w:val="y2iqfc"/>
          <w:rFonts w:ascii="Arial" w:hAnsi="Arial"/>
          <w:color w:val="202124"/>
        </w:rPr>
        <w:t xml:space="preserve"> de la définition établie par le Comité international de la Croix-Rouge (CICR), selon laquelle l</w:t>
      </w:r>
      <w:r w:rsidR="002F7D24" w:rsidRPr="00141643">
        <w:rPr>
          <w:rStyle w:val="y2iqfc"/>
          <w:rFonts w:ascii="Arial" w:hAnsi="Arial"/>
          <w:color w:val="202124"/>
        </w:rPr>
        <w:t>’</w:t>
      </w:r>
      <w:r w:rsidRPr="00141643">
        <w:rPr>
          <w:rStyle w:val="y2iqfc"/>
          <w:rFonts w:ascii="Arial" w:hAnsi="Arial"/>
          <w:color w:val="202124"/>
        </w:rPr>
        <w:t>expression "systèmes d</w:t>
      </w:r>
      <w:r w:rsidR="002F7D24" w:rsidRPr="00141643">
        <w:rPr>
          <w:rStyle w:val="y2iqfc"/>
          <w:rFonts w:ascii="Arial" w:hAnsi="Arial"/>
          <w:color w:val="202124"/>
        </w:rPr>
        <w:t>’</w:t>
      </w:r>
      <w:r w:rsidRPr="00141643">
        <w:rPr>
          <w:rStyle w:val="y2iqfc"/>
          <w:rFonts w:ascii="Arial" w:hAnsi="Arial"/>
          <w:color w:val="202124"/>
        </w:rPr>
        <w:t>armes léta</w:t>
      </w:r>
      <w:r w:rsidR="00102ED9" w:rsidRPr="00141643">
        <w:rPr>
          <w:rStyle w:val="y2iqfc"/>
          <w:rFonts w:ascii="Arial" w:hAnsi="Arial"/>
          <w:color w:val="202124"/>
        </w:rPr>
        <w:t>ux</w:t>
      </w:r>
      <w:r w:rsidRPr="00141643">
        <w:rPr>
          <w:rStyle w:val="y2iqfc"/>
          <w:rFonts w:ascii="Arial" w:hAnsi="Arial"/>
          <w:color w:val="202124"/>
        </w:rPr>
        <w:t xml:space="preserve"> autonomes (SALA)" </w:t>
      </w:r>
      <w:r w:rsidR="00694782" w:rsidRPr="00141643">
        <w:rPr>
          <w:rStyle w:val="y2iqfc"/>
          <w:rFonts w:ascii="Arial" w:hAnsi="Arial"/>
          <w:color w:val="202124"/>
        </w:rPr>
        <w:t xml:space="preserve">englobe tout système d’armes dont les fonctions essentielles disposent d’une autonomie, à savoir qu’il peut sélectionner </w:t>
      </w:r>
      <w:r w:rsidRPr="00141643">
        <w:rPr>
          <w:rStyle w:val="y2iqfc"/>
          <w:rFonts w:ascii="Arial" w:hAnsi="Arial"/>
          <w:color w:val="202124"/>
        </w:rPr>
        <w:t>(c</w:t>
      </w:r>
      <w:r w:rsidR="002F7D24" w:rsidRPr="00141643">
        <w:rPr>
          <w:rStyle w:val="y2iqfc"/>
          <w:rFonts w:ascii="Arial" w:hAnsi="Arial"/>
          <w:color w:val="202124"/>
        </w:rPr>
        <w:t>’</w:t>
      </w:r>
      <w:r w:rsidRPr="00141643">
        <w:rPr>
          <w:rStyle w:val="y2iqfc"/>
          <w:rFonts w:ascii="Arial" w:hAnsi="Arial"/>
          <w:color w:val="202124"/>
        </w:rPr>
        <w:t>est-à-dire rechercher, détecter, identifier, suivre ou sélectionner) et attaquer (c</w:t>
      </w:r>
      <w:r w:rsidR="002F7D24" w:rsidRPr="00141643">
        <w:rPr>
          <w:rStyle w:val="y2iqfc"/>
          <w:rFonts w:ascii="Arial" w:hAnsi="Arial"/>
          <w:color w:val="202124"/>
        </w:rPr>
        <w:t>’</w:t>
      </w:r>
      <w:r w:rsidRPr="00141643">
        <w:rPr>
          <w:rStyle w:val="y2iqfc"/>
          <w:rFonts w:ascii="Arial" w:hAnsi="Arial"/>
          <w:color w:val="202124"/>
        </w:rPr>
        <w:t>est-à-dire employer la force, neutraliser, endommager ou détruire) des cibles sans intervention humaine,</w:t>
      </w:r>
    </w:p>
    <w:p w14:paraId="6E5D7B82" w14:textId="77777777" w:rsidR="00631CAF" w:rsidRPr="00141643" w:rsidRDefault="00631CAF"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color w:val="202124"/>
        </w:rPr>
      </w:pPr>
    </w:p>
    <w:p w14:paraId="13581946" w14:textId="395F513A" w:rsidR="00631CAF" w:rsidRPr="00141643" w:rsidRDefault="00B17DD0"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color w:val="202124"/>
        </w:rPr>
      </w:pPr>
      <w:r w:rsidRPr="00141643">
        <w:rPr>
          <w:rStyle w:val="y2iqfc"/>
          <w:rFonts w:ascii="Arial" w:hAnsi="Arial"/>
          <w:color w:val="202124"/>
        </w:rPr>
        <w:t xml:space="preserve">3) </w:t>
      </w:r>
      <w:r w:rsidR="006403E3" w:rsidRPr="00141643">
        <w:rPr>
          <w:rStyle w:val="y2iqfc"/>
          <w:rFonts w:ascii="Arial" w:hAnsi="Arial"/>
          <w:color w:val="202124"/>
        </w:rPr>
        <w:tab/>
      </w:r>
      <w:r w:rsidRPr="00141643">
        <w:rPr>
          <w:rStyle w:val="y2iqfc"/>
          <w:rFonts w:ascii="Arial" w:hAnsi="Arial"/>
          <w:i/>
          <w:color w:val="202124"/>
        </w:rPr>
        <w:t xml:space="preserve">sachant </w:t>
      </w:r>
      <w:r w:rsidRPr="00141643">
        <w:rPr>
          <w:rStyle w:val="y2iqfc"/>
          <w:rFonts w:ascii="Arial" w:hAnsi="Arial"/>
          <w:color w:val="202124"/>
        </w:rPr>
        <w:t>que les SALA, également appelés "robots tueurs", ne désignent pas les systèmes télécommandés dont le contrôle est toujours assuré par l</w:t>
      </w:r>
      <w:r w:rsidR="002F7D24" w:rsidRPr="00141643">
        <w:rPr>
          <w:rStyle w:val="y2iqfc"/>
          <w:rFonts w:ascii="Arial" w:hAnsi="Arial"/>
          <w:color w:val="202124"/>
        </w:rPr>
        <w:t>’</w:t>
      </w:r>
      <w:r w:rsidRPr="00141643">
        <w:rPr>
          <w:rStyle w:val="y2iqfc"/>
          <w:rFonts w:ascii="Arial" w:hAnsi="Arial"/>
          <w:color w:val="202124"/>
        </w:rPr>
        <w:t>homme, ni les systèmes automatisés dans lesquels un processus a été préalablement programmé de manière à ce que son action soit totalement prévisible,</w:t>
      </w:r>
    </w:p>
    <w:p w14:paraId="35CE4D66" w14:textId="77777777" w:rsidR="00631CAF" w:rsidRPr="00141643" w:rsidRDefault="00631CAF"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color w:val="202124"/>
        </w:rPr>
      </w:pPr>
    </w:p>
    <w:p w14:paraId="467C1A05" w14:textId="693A292F" w:rsidR="00631CAF" w:rsidRPr="00141643" w:rsidRDefault="00B17DD0"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color w:val="202124"/>
        </w:rPr>
      </w:pPr>
      <w:r w:rsidRPr="00141643">
        <w:rPr>
          <w:rStyle w:val="y2iqfc"/>
          <w:rFonts w:ascii="Arial" w:hAnsi="Arial"/>
          <w:color w:val="202124"/>
        </w:rPr>
        <w:t xml:space="preserve">4) </w:t>
      </w:r>
      <w:r w:rsidR="006403E3" w:rsidRPr="00141643">
        <w:rPr>
          <w:rStyle w:val="y2iqfc"/>
          <w:rFonts w:ascii="Arial" w:hAnsi="Arial"/>
          <w:color w:val="202124"/>
        </w:rPr>
        <w:tab/>
      </w:r>
      <w:r w:rsidRPr="00141643">
        <w:rPr>
          <w:rStyle w:val="y2iqfc"/>
          <w:rFonts w:ascii="Arial" w:hAnsi="Arial"/>
          <w:i/>
          <w:color w:val="202124"/>
        </w:rPr>
        <w:t>préoccupée</w:t>
      </w:r>
      <w:r w:rsidRPr="00141643">
        <w:rPr>
          <w:rStyle w:val="y2iqfc"/>
          <w:rFonts w:ascii="Arial" w:hAnsi="Arial"/>
          <w:color w:val="202124"/>
        </w:rPr>
        <w:t xml:space="preserve"> par le fait que l</w:t>
      </w:r>
      <w:r w:rsidR="002F7D24" w:rsidRPr="00141643">
        <w:rPr>
          <w:rStyle w:val="y2iqfc"/>
          <w:rFonts w:ascii="Arial" w:hAnsi="Arial"/>
          <w:color w:val="202124"/>
        </w:rPr>
        <w:t>’</w:t>
      </w:r>
      <w:r w:rsidRPr="00141643">
        <w:rPr>
          <w:rStyle w:val="y2iqfc"/>
          <w:rFonts w:ascii="Arial" w:hAnsi="Arial"/>
          <w:color w:val="202124"/>
        </w:rPr>
        <w:t xml:space="preserve">absence de contrôle et de réglementation </w:t>
      </w:r>
      <w:r w:rsidR="00E4060B" w:rsidRPr="00141643">
        <w:rPr>
          <w:rStyle w:val="y2iqfc"/>
          <w:rFonts w:ascii="Arial" w:hAnsi="Arial"/>
          <w:color w:val="202124"/>
        </w:rPr>
        <w:t>précise</w:t>
      </w:r>
      <w:r w:rsidRPr="00141643">
        <w:rPr>
          <w:rStyle w:val="y2iqfc"/>
          <w:rFonts w:ascii="Arial" w:hAnsi="Arial"/>
          <w:color w:val="202124"/>
        </w:rPr>
        <w:t xml:space="preserve"> au niveau international concernant l</w:t>
      </w:r>
      <w:r w:rsidR="002F7D24" w:rsidRPr="00141643">
        <w:rPr>
          <w:rStyle w:val="y2iqfc"/>
          <w:rFonts w:ascii="Arial" w:hAnsi="Arial"/>
          <w:color w:val="202124"/>
        </w:rPr>
        <w:t>’</w:t>
      </w:r>
      <w:r w:rsidRPr="00141643">
        <w:rPr>
          <w:rStyle w:val="y2iqfc"/>
          <w:rFonts w:ascii="Arial" w:hAnsi="Arial"/>
          <w:color w:val="202124"/>
        </w:rPr>
        <w:t>utilisation des SALA pourrait permettre aux opérateurs d</w:t>
      </w:r>
      <w:r w:rsidR="002F7D24" w:rsidRPr="00141643">
        <w:rPr>
          <w:rStyle w:val="y2iqfc"/>
          <w:rFonts w:ascii="Arial" w:hAnsi="Arial"/>
          <w:color w:val="202124"/>
        </w:rPr>
        <w:t>’</w:t>
      </w:r>
      <w:r w:rsidRPr="00141643">
        <w:rPr>
          <w:rStyle w:val="y2iqfc"/>
          <w:rFonts w:ascii="Arial" w:hAnsi="Arial"/>
          <w:color w:val="202124"/>
        </w:rPr>
        <w:t>infliger des violences sans avoir à en rendre compte, faute de jugement et de supervision humains, de possibilités d</w:t>
      </w:r>
      <w:r w:rsidR="002F7D24" w:rsidRPr="00141643">
        <w:rPr>
          <w:rStyle w:val="y2iqfc"/>
          <w:rFonts w:ascii="Arial" w:hAnsi="Arial"/>
          <w:color w:val="202124"/>
        </w:rPr>
        <w:t>’</w:t>
      </w:r>
      <w:r w:rsidRPr="00141643">
        <w:rPr>
          <w:rStyle w:val="y2iqfc"/>
          <w:rFonts w:ascii="Arial" w:hAnsi="Arial"/>
          <w:color w:val="202124"/>
        </w:rPr>
        <w:t>intervention en temps utile ou de mécanismes de désactivation de l</w:t>
      </w:r>
      <w:r w:rsidR="002F7D24" w:rsidRPr="00141643">
        <w:rPr>
          <w:rStyle w:val="y2iqfc"/>
          <w:rFonts w:ascii="Arial" w:hAnsi="Arial"/>
          <w:color w:val="202124"/>
        </w:rPr>
        <w:t>’</w:t>
      </w:r>
      <w:r w:rsidR="00847694" w:rsidRPr="00141643">
        <w:rPr>
          <w:rStyle w:val="y2iqfc"/>
          <w:rFonts w:ascii="Arial" w:hAnsi="Arial"/>
          <w:color w:val="202124"/>
        </w:rPr>
        <w:t>emploi</w:t>
      </w:r>
      <w:r w:rsidRPr="00141643">
        <w:rPr>
          <w:rStyle w:val="y2iqfc"/>
          <w:rFonts w:ascii="Arial" w:hAnsi="Arial"/>
          <w:color w:val="202124"/>
        </w:rPr>
        <w:t xml:space="preserve"> de la force,</w:t>
      </w:r>
    </w:p>
    <w:p w14:paraId="21FF1519" w14:textId="77777777" w:rsidR="00631CAF" w:rsidRPr="00141643" w:rsidRDefault="00631CAF"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color w:val="202124"/>
        </w:rPr>
      </w:pPr>
    </w:p>
    <w:p w14:paraId="51D92D68" w14:textId="774ADA9F" w:rsidR="00631CAF" w:rsidRPr="00141643" w:rsidRDefault="00B17DD0"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color w:val="202124"/>
        </w:rPr>
      </w:pPr>
      <w:r w:rsidRPr="00141643">
        <w:rPr>
          <w:rStyle w:val="y2iqfc"/>
          <w:rFonts w:ascii="Arial" w:hAnsi="Arial"/>
          <w:color w:val="202124"/>
        </w:rPr>
        <w:t xml:space="preserve">5) </w:t>
      </w:r>
      <w:r w:rsidR="006403E3" w:rsidRPr="00141643">
        <w:rPr>
          <w:rStyle w:val="y2iqfc"/>
          <w:rFonts w:ascii="Arial" w:hAnsi="Arial"/>
          <w:color w:val="202124"/>
        </w:rPr>
        <w:tab/>
      </w:r>
      <w:r w:rsidRPr="00141643">
        <w:rPr>
          <w:rStyle w:val="y2iqfc"/>
          <w:rFonts w:ascii="Arial" w:hAnsi="Arial"/>
          <w:i/>
          <w:color w:val="202124"/>
        </w:rPr>
        <w:t>préoccupée également</w:t>
      </w:r>
      <w:r w:rsidRPr="00141643">
        <w:rPr>
          <w:rStyle w:val="y2iqfc"/>
          <w:rFonts w:ascii="Arial" w:hAnsi="Arial"/>
          <w:color w:val="202124"/>
        </w:rPr>
        <w:t xml:space="preserve"> par le fait que, grâce à la recherche et à l</w:t>
      </w:r>
      <w:r w:rsidR="002F7D24" w:rsidRPr="00141643">
        <w:rPr>
          <w:rStyle w:val="y2iqfc"/>
          <w:rFonts w:ascii="Arial" w:hAnsi="Arial"/>
          <w:color w:val="202124"/>
        </w:rPr>
        <w:t>’</w:t>
      </w:r>
      <w:r w:rsidRPr="00141643">
        <w:rPr>
          <w:rStyle w:val="y2iqfc"/>
          <w:rFonts w:ascii="Arial" w:hAnsi="Arial"/>
          <w:color w:val="202124"/>
        </w:rPr>
        <w:t>investissement dans des technologies militaires sophistiquées, notamment l</w:t>
      </w:r>
      <w:r w:rsidR="002F7D24" w:rsidRPr="00141643">
        <w:rPr>
          <w:rStyle w:val="y2iqfc"/>
          <w:rFonts w:ascii="Arial" w:hAnsi="Arial"/>
          <w:color w:val="202124"/>
        </w:rPr>
        <w:t>’</w:t>
      </w:r>
      <w:r w:rsidRPr="00141643">
        <w:rPr>
          <w:rStyle w:val="y2iqfc"/>
          <w:rFonts w:ascii="Arial" w:hAnsi="Arial"/>
          <w:color w:val="202124"/>
        </w:rPr>
        <w:t xml:space="preserve">intelligence artificielle </w:t>
      </w:r>
      <w:r w:rsidR="00401383" w:rsidRPr="00141643">
        <w:rPr>
          <w:rStyle w:val="y2iqfc"/>
          <w:rFonts w:ascii="Arial" w:hAnsi="Arial"/>
          <w:color w:val="202124"/>
        </w:rPr>
        <w:t xml:space="preserve">(IA) </w:t>
      </w:r>
      <w:r w:rsidRPr="00141643">
        <w:rPr>
          <w:rStyle w:val="y2iqfc"/>
          <w:rFonts w:ascii="Arial" w:hAnsi="Arial"/>
          <w:color w:val="202124"/>
        </w:rPr>
        <w:t>et le traitement algorithmique des données, les pays fortement militarisés pourraient acquérir un avantage significatif dans leur capacité à mener des guerres et à amplifier les déséquilibres de puissance à travers le monde, ce qui aurait pour conséquence d</w:t>
      </w:r>
      <w:r w:rsidR="002F7D24" w:rsidRPr="00141643">
        <w:rPr>
          <w:rStyle w:val="y2iqfc"/>
          <w:rFonts w:ascii="Arial" w:hAnsi="Arial"/>
          <w:color w:val="202124"/>
        </w:rPr>
        <w:t>’</w:t>
      </w:r>
      <w:r w:rsidRPr="00141643">
        <w:rPr>
          <w:rStyle w:val="y2iqfc"/>
          <w:rFonts w:ascii="Arial" w:hAnsi="Arial"/>
          <w:color w:val="202124"/>
        </w:rPr>
        <w:t>accroître les risques pesant sur la paix et la sécurité internationales,</w:t>
      </w:r>
    </w:p>
    <w:p w14:paraId="13AFDA02" w14:textId="77777777" w:rsidR="00631CAF" w:rsidRPr="00141643" w:rsidRDefault="00631CAF"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color w:val="202124"/>
        </w:rPr>
      </w:pPr>
    </w:p>
    <w:p w14:paraId="5C4B2F6E" w14:textId="1C3FACC4" w:rsidR="00631CAF" w:rsidRPr="00141643" w:rsidRDefault="00B17DD0"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color w:val="202124"/>
        </w:rPr>
      </w:pPr>
      <w:r w:rsidRPr="00141643">
        <w:rPr>
          <w:rStyle w:val="y2iqfc"/>
          <w:rFonts w:ascii="Arial" w:hAnsi="Arial"/>
          <w:color w:val="202124"/>
        </w:rPr>
        <w:t xml:space="preserve">6) </w:t>
      </w:r>
      <w:r w:rsidR="006403E3" w:rsidRPr="00141643">
        <w:rPr>
          <w:rStyle w:val="y2iqfc"/>
          <w:rFonts w:ascii="Arial" w:hAnsi="Arial"/>
          <w:color w:val="202124"/>
        </w:rPr>
        <w:tab/>
      </w:r>
      <w:r w:rsidRPr="00141643">
        <w:rPr>
          <w:rFonts w:ascii="Arial" w:hAnsi="Arial"/>
          <w:i/>
        </w:rPr>
        <w:t>pleinement consciente</w:t>
      </w:r>
      <w:r w:rsidRPr="00141643">
        <w:rPr>
          <w:rFonts w:ascii="Arial" w:hAnsi="Arial"/>
        </w:rPr>
        <w:t xml:space="preserve"> que </w:t>
      </w:r>
      <w:r w:rsidRPr="00141643">
        <w:rPr>
          <w:rStyle w:val="y2iqfc"/>
          <w:rFonts w:ascii="Arial" w:hAnsi="Arial"/>
          <w:color w:val="202124"/>
        </w:rPr>
        <w:t xml:space="preserve">les </w:t>
      </w:r>
      <w:r w:rsidR="007E1EBB" w:rsidRPr="00141643">
        <w:rPr>
          <w:rStyle w:val="y2iqfc"/>
          <w:rFonts w:ascii="Arial" w:hAnsi="Arial"/>
          <w:color w:val="202124"/>
        </w:rPr>
        <w:t>SALA</w:t>
      </w:r>
      <w:r w:rsidRPr="00141643">
        <w:rPr>
          <w:rStyle w:val="y2iqfc"/>
          <w:rFonts w:ascii="Arial" w:hAnsi="Arial"/>
          <w:color w:val="202124"/>
        </w:rPr>
        <w:t xml:space="preserve"> sont susceptibles de devenir de futures armes de destruction massive, dans la mesure où elles réunissent deux caractéristiques propres à ce type d</w:t>
      </w:r>
      <w:r w:rsidR="002F7D24" w:rsidRPr="00141643">
        <w:rPr>
          <w:rStyle w:val="y2iqfc"/>
          <w:rFonts w:ascii="Arial" w:hAnsi="Arial"/>
          <w:color w:val="202124"/>
        </w:rPr>
        <w:t>’</w:t>
      </w:r>
      <w:r w:rsidRPr="00141643">
        <w:rPr>
          <w:rStyle w:val="y2iqfc"/>
          <w:rFonts w:ascii="Arial" w:hAnsi="Arial"/>
          <w:color w:val="202124"/>
        </w:rPr>
        <w:t>armes</w:t>
      </w:r>
      <w:r w:rsidR="00B271D9" w:rsidRPr="00141643">
        <w:rPr>
          <w:rStyle w:val="y2iqfc"/>
          <w:rFonts w:ascii="Arial" w:hAnsi="Arial"/>
          <w:color w:val="202124"/>
        </w:rPr>
        <w:t> </w:t>
      </w:r>
      <w:r w:rsidRPr="00141643">
        <w:rPr>
          <w:rStyle w:val="y2iqfc"/>
          <w:rFonts w:ascii="Arial" w:hAnsi="Arial"/>
          <w:color w:val="202124"/>
        </w:rPr>
        <w:t>: la capacité de nuisance massive et l</w:t>
      </w:r>
      <w:r w:rsidR="002F7D24" w:rsidRPr="00141643">
        <w:rPr>
          <w:rStyle w:val="y2iqfc"/>
          <w:rFonts w:ascii="Arial" w:hAnsi="Arial"/>
          <w:color w:val="202124"/>
        </w:rPr>
        <w:t>’</w:t>
      </w:r>
      <w:r w:rsidRPr="00141643">
        <w:rPr>
          <w:rStyle w:val="y2iqfc"/>
          <w:rFonts w:ascii="Arial" w:hAnsi="Arial"/>
          <w:color w:val="202124"/>
        </w:rPr>
        <w:t>absence de contrôle humain permettant de s</w:t>
      </w:r>
      <w:r w:rsidR="002F7D24" w:rsidRPr="00141643">
        <w:rPr>
          <w:rStyle w:val="y2iqfc"/>
          <w:rFonts w:ascii="Arial" w:hAnsi="Arial"/>
          <w:color w:val="202124"/>
        </w:rPr>
        <w:t>’</w:t>
      </w:r>
      <w:r w:rsidRPr="00141643">
        <w:rPr>
          <w:rStyle w:val="y2iqfc"/>
          <w:rFonts w:ascii="Arial" w:hAnsi="Arial"/>
          <w:color w:val="202124"/>
        </w:rPr>
        <w:t>assurer qu</w:t>
      </w:r>
      <w:r w:rsidR="002F7D24" w:rsidRPr="00141643">
        <w:rPr>
          <w:rStyle w:val="y2iqfc"/>
          <w:rFonts w:ascii="Arial" w:hAnsi="Arial"/>
          <w:color w:val="202124"/>
        </w:rPr>
        <w:t>’</w:t>
      </w:r>
      <w:r w:rsidRPr="00141643">
        <w:rPr>
          <w:rStyle w:val="y2iqfc"/>
          <w:rFonts w:ascii="Arial" w:hAnsi="Arial"/>
          <w:color w:val="202124"/>
        </w:rPr>
        <w:t>elles ne blessent pas les populations civiles,</w:t>
      </w:r>
    </w:p>
    <w:p w14:paraId="4B676B59" w14:textId="77777777" w:rsidR="00631CAF" w:rsidRPr="00141643" w:rsidRDefault="00631CAF"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color w:val="202124"/>
        </w:rPr>
      </w:pPr>
    </w:p>
    <w:p w14:paraId="598E0DBF" w14:textId="18BBE2EF" w:rsidR="00631CAF" w:rsidRPr="00141643" w:rsidRDefault="00B17DD0"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Fonts w:ascii="Arial" w:hAnsi="Arial" w:cs="Arial"/>
        </w:rPr>
      </w:pPr>
      <w:r w:rsidRPr="00141643">
        <w:rPr>
          <w:rStyle w:val="y2iqfc"/>
          <w:rFonts w:ascii="Arial" w:hAnsi="Arial"/>
          <w:color w:val="202124"/>
        </w:rPr>
        <w:t xml:space="preserve">7) </w:t>
      </w:r>
      <w:r w:rsidR="006403E3" w:rsidRPr="00141643">
        <w:rPr>
          <w:rStyle w:val="y2iqfc"/>
          <w:rFonts w:ascii="Arial" w:hAnsi="Arial"/>
          <w:color w:val="202124"/>
        </w:rPr>
        <w:tab/>
      </w:r>
      <w:r w:rsidRPr="00141643">
        <w:rPr>
          <w:rStyle w:val="y2iqfc"/>
          <w:rFonts w:ascii="Arial" w:hAnsi="Arial"/>
          <w:i/>
          <w:color w:val="202124"/>
        </w:rPr>
        <w:t xml:space="preserve">vivement préoccupée </w:t>
      </w:r>
      <w:r w:rsidRPr="00141643">
        <w:rPr>
          <w:rStyle w:val="y2iqfc"/>
          <w:rFonts w:ascii="Arial" w:hAnsi="Arial"/>
          <w:color w:val="202124"/>
        </w:rPr>
        <w:t xml:space="preserve">par le fait que les SALA pourraient être utilisés par </w:t>
      </w:r>
      <w:r w:rsidRPr="00141643">
        <w:rPr>
          <w:rFonts w:ascii="Arial" w:hAnsi="Arial"/>
          <w:color w:val="202124"/>
        </w:rPr>
        <w:t>des groupes armés et d</w:t>
      </w:r>
      <w:r w:rsidR="002F7D24" w:rsidRPr="00141643">
        <w:rPr>
          <w:rFonts w:ascii="Arial" w:hAnsi="Arial"/>
          <w:color w:val="202124"/>
        </w:rPr>
        <w:t>’</w:t>
      </w:r>
      <w:r w:rsidRPr="00141643">
        <w:rPr>
          <w:rFonts w:ascii="Arial" w:hAnsi="Arial"/>
          <w:color w:val="202124"/>
        </w:rPr>
        <w:t>autres acteurs non étatiques</w:t>
      </w:r>
      <w:r w:rsidRPr="00141643">
        <w:rPr>
          <w:rStyle w:val="y2iqfc"/>
          <w:rFonts w:ascii="Arial" w:hAnsi="Arial"/>
          <w:color w:val="202124"/>
        </w:rPr>
        <w:t xml:space="preserve"> pour porter atteinte à la sécurité nationale, régionale et mondiale, ce qui aurait de lourdes répercussions sur les plans social et humanitaire,</w:t>
      </w:r>
    </w:p>
    <w:p w14:paraId="39B23F1D" w14:textId="77777777" w:rsidR="00631CAF" w:rsidRPr="00141643" w:rsidRDefault="00631CAF"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color w:val="202124"/>
        </w:rPr>
      </w:pPr>
    </w:p>
    <w:p w14:paraId="677A6648" w14:textId="77777777" w:rsidR="00222116" w:rsidRPr="00141643" w:rsidRDefault="00B17DD0" w:rsidP="006403E3">
      <w:pPr>
        <w:tabs>
          <w:tab w:val="left" w:pos="1134"/>
        </w:tabs>
        <w:spacing w:line="240" w:lineRule="auto"/>
        <w:rPr>
          <w:sz w:val="20"/>
        </w:rPr>
        <w:sectPr w:rsidR="00222116" w:rsidRPr="00141643" w:rsidSect="00222116">
          <w:headerReference w:type="default" r:id="rId11"/>
          <w:footerReference w:type="default" r:id="rId12"/>
          <w:pgSz w:w="11906" w:h="16838"/>
          <w:pgMar w:top="2835" w:right="680" w:bottom="816" w:left="1928" w:header="709" w:footer="709" w:gutter="0"/>
          <w:cols w:space="708"/>
          <w:docGrid w:linePitch="360"/>
        </w:sectPr>
      </w:pPr>
      <w:r w:rsidRPr="00141643">
        <w:rPr>
          <w:sz w:val="20"/>
          <w:szCs w:val="20"/>
        </w:rPr>
        <w:t>8)</w:t>
      </w:r>
      <w:r w:rsidRPr="00141643">
        <w:t xml:space="preserve"> </w:t>
      </w:r>
      <w:r w:rsidR="006403E3" w:rsidRPr="00141643">
        <w:tab/>
      </w:r>
      <w:r w:rsidRPr="00141643">
        <w:rPr>
          <w:i/>
          <w:sz w:val="20"/>
        </w:rPr>
        <w:t>alarmée</w:t>
      </w:r>
      <w:r w:rsidRPr="00141643">
        <w:rPr>
          <w:sz w:val="20"/>
        </w:rPr>
        <w:t xml:space="preserve"> par les éléments indiquant que la reconnaissance faciale et les algorithmes de prise de décision automatisée comportent des biais intrinsèques qui perpétuent la discrimination sexiste et raciale et les injustices à l</w:t>
      </w:r>
      <w:r w:rsidR="002F7D24" w:rsidRPr="00141643">
        <w:rPr>
          <w:sz w:val="20"/>
        </w:rPr>
        <w:t>’</w:t>
      </w:r>
      <w:r w:rsidRPr="00141643">
        <w:rPr>
          <w:sz w:val="20"/>
        </w:rPr>
        <w:t>encontre des personnes défavorisées sur le plan socio</w:t>
      </w:r>
      <w:r w:rsidR="00C32EDA" w:rsidRPr="00141643">
        <w:rPr>
          <w:sz w:val="20"/>
        </w:rPr>
        <w:t>-</w:t>
      </w:r>
      <w:r w:rsidRPr="00141643">
        <w:rPr>
          <w:sz w:val="20"/>
        </w:rPr>
        <w:t xml:space="preserve">économique, des personnes vulnérables et des personnes handicapées, et que les robots tueurs pourraient être délibérément programmés pour cibler des personnes présentant certaines "caractéristiques" ou </w:t>
      </w:r>
      <w:r w:rsidR="00386D42" w:rsidRPr="00141643">
        <w:rPr>
          <w:sz w:val="20"/>
        </w:rPr>
        <w:t xml:space="preserve">marqueurs </w:t>
      </w:r>
      <w:r w:rsidRPr="00141643">
        <w:rPr>
          <w:sz w:val="20"/>
        </w:rPr>
        <w:t>d</w:t>
      </w:r>
      <w:r w:rsidR="002F7D24" w:rsidRPr="00141643">
        <w:rPr>
          <w:sz w:val="20"/>
        </w:rPr>
        <w:t>’</w:t>
      </w:r>
      <w:r w:rsidRPr="00141643">
        <w:rPr>
          <w:sz w:val="20"/>
        </w:rPr>
        <w:t>identité, comme la race, le sexe ou des types de comportement,</w:t>
      </w:r>
    </w:p>
    <w:p w14:paraId="02F9699D" w14:textId="724251E9" w:rsidR="00631CAF" w:rsidRPr="00141643" w:rsidRDefault="00B17DD0" w:rsidP="006403E3">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rPr>
          <w:rStyle w:val="y2iqfc"/>
          <w:rFonts w:ascii="Arial" w:hAnsi="Arial" w:cs="Arial"/>
        </w:rPr>
      </w:pPr>
      <w:r w:rsidRPr="00141643">
        <w:rPr>
          <w:rFonts w:ascii="Arial" w:hAnsi="Arial"/>
        </w:rPr>
        <w:lastRenderedPageBreak/>
        <w:t xml:space="preserve">9) </w:t>
      </w:r>
      <w:r w:rsidR="006403E3" w:rsidRPr="00141643">
        <w:rPr>
          <w:rFonts w:ascii="Arial" w:hAnsi="Arial"/>
        </w:rPr>
        <w:tab/>
      </w:r>
      <w:r w:rsidRPr="00141643">
        <w:rPr>
          <w:rStyle w:val="y2iqfc"/>
          <w:rFonts w:ascii="Arial" w:hAnsi="Arial"/>
          <w:i/>
          <w:color w:val="202124"/>
        </w:rPr>
        <w:t xml:space="preserve">rappelant </w:t>
      </w:r>
      <w:r w:rsidRPr="00141643">
        <w:rPr>
          <w:rStyle w:val="y2iqfc"/>
          <w:rFonts w:ascii="Arial" w:hAnsi="Arial"/>
          <w:color w:val="202124"/>
        </w:rPr>
        <w:t>l</w:t>
      </w:r>
      <w:r w:rsidR="002F7D24" w:rsidRPr="00141643">
        <w:rPr>
          <w:rStyle w:val="y2iqfc"/>
          <w:rFonts w:ascii="Arial" w:hAnsi="Arial"/>
          <w:color w:val="202124"/>
        </w:rPr>
        <w:t>’</w:t>
      </w:r>
      <w:r w:rsidRPr="00141643">
        <w:rPr>
          <w:rStyle w:val="y2iqfc"/>
          <w:rFonts w:ascii="Arial" w:hAnsi="Arial"/>
          <w:color w:val="202124"/>
        </w:rPr>
        <w:t xml:space="preserve">obligation prévue par le droit international humanitaire </w:t>
      </w:r>
      <w:r w:rsidR="00C32EDA" w:rsidRPr="00141643">
        <w:rPr>
          <w:rStyle w:val="y2iqfc"/>
          <w:rFonts w:ascii="Arial" w:hAnsi="Arial"/>
          <w:color w:val="202124"/>
        </w:rPr>
        <w:t xml:space="preserve">(DIH) </w:t>
      </w:r>
      <w:r w:rsidRPr="00141643">
        <w:rPr>
          <w:rStyle w:val="y2iqfc"/>
          <w:rFonts w:ascii="Arial" w:hAnsi="Arial"/>
          <w:color w:val="202124"/>
        </w:rPr>
        <w:t>selon laquelle le droit des parties à un conflit de choisir leurs méthodes et moyens de guerre n</w:t>
      </w:r>
      <w:r w:rsidR="002F7D24" w:rsidRPr="00141643">
        <w:rPr>
          <w:rStyle w:val="y2iqfc"/>
          <w:rFonts w:ascii="Arial" w:hAnsi="Arial"/>
          <w:color w:val="202124"/>
        </w:rPr>
        <w:t>’</w:t>
      </w:r>
      <w:r w:rsidRPr="00141643">
        <w:rPr>
          <w:rStyle w:val="y2iqfc"/>
          <w:rFonts w:ascii="Arial" w:hAnsi="Arial"/>
          <w:color w:val="202124"/>
        </w:rPr>
        <w:t>est pas illimité, comme indiqué au paragraphe 1 de l</w:t>
      </w:r>
      <w:r w:rsidR="002F7D24" w:rsidRPr="00141643">
        <w:rPr>
          <w:rStyle w:val="y2iqfc"/>
          <w:rFonts w:ascii="Arial" w:hAnsi="Arial"/>
          <w:color w:val="202124"/>
        </w:rPr>
        <w:t>’</w:t>
      </w:r>
      <w:r w:rsidRPr="00141643">
        <w:rPr>
          <w:rStyle w:val="y2iqfc"/>
          <w:rFonts w:ascii="Arial" w:hAnsi="Arial"/>
          <w:color w:val="202124"/>
        </w:rPr>
        <w:t>article 35 du Protocole additionnel I aux Conventions de Genève de 1949 relatif à la protection des victimes des conflits armés internationaux, et comme prévu par le droit international coutumier,</w:t>
      </w:r>
      <w:r w:rsidRPr="00141643">
        <w:rPr>
          <w:rFonts w:ascii="Arial" w:hAnsi="Arial"/>
          <w:color w:val="202124"/>
        </w:rPr>
        <w:t xml:space="preserve"> ainsi que l</w:t>
      </w:r>
      <w:r w:rsidR="002F7D24" w:rsidRPr="00141643">
        <w:rPr>
          <w:rFonts w:ascii="Arial" w:hAnsi="Arial"/>
          <w:color w:val="202124"/>
        </w:rPr>
        <w:t>’</w:t>
      </w:r>
      <w:r w:rsidRPr="00141643">
        <w:rPr>
          <w:rFonts w:ascii="Arial" w:hAnsi="Arial"/>
          <w:color w:val="202124"/>
        </w:rPr>
        <w:t>obligation énoncée à l</w:t>
      </w:r>
      <w:r w:rsidR="002F7D24" w:rsidRPr="00141643">
        <w:rPr>
          <w:rFonts w:ascii="Arial" w:hAnsi="Arial"/>
          <w:color w:val="202124"/>
        </w:rPr>
        <w:t>’</w:t>
      </w:r>
      <w:r w:rsidRPr="00141643">
        <w:rPr>
          <w:rFonts w:ascii="Arial" w:hAnsi="Arial"/>
          <w:color w:val="202124"/>
        </w:rPr>
        <w:t>article 36 du Protocole additionnel I,</w:t>
      </w:r>
      <w:r w:rsidRPr="00141643">
        <w:rPr>
          <w:rFonts w:ascii="Arial" w:hAnsi="Arial"/>
        </w:rPr>
        <w:t xml:space="preserve"> </w:t>
      </w:r>
      <w:r w:rsidRPr="00141643">
        <w:rPr>
          <w:rStyle w:val="y2iqfc"/>
          <w:rFonts w:ascii="Arial" w:hAnsi="Arial"/>
          <w:color w:val="202124"/>
        </w:rPr>
        <w:t>qui exige des pays qu</w:t>
      </w:r>
      <w:r w:rsidR="002F7D24" w:rsidRPr="00141643">
        <w:rPr>
          <w:rStyle w:val="y2iqfc"/>
          <w:rFonts w:ascii="Arial" w:hAnsi="Arial"/>
          <w:color w:val="202124"/>
        </w:rPr>
        <w:t>’</w:t>
      </w:r>
      <w:r w:rsidRPr="00141643">
        <w:rPr>
          <w:rStyle w:val="y2iqfc"/>
          <w:rFonts w:ascii="Arial" w:hAnsi="Arial"/>
          <w:color w:val="202124"/>
        </w:rPr>
        <w:t>ils procèdent à l</w:t>
      </w:r>
      <w:r w:rsidR="002F7D24" w:rsidRPr="00141643">
        <w:rPr>
          <w:rStyle w:val="y2iqfc"/>
          <w:rFonts w:ascii="Arial" w:hAnsi="Arial"/>
          <w:color w:val="202124"/>
        </w:rPr>
        <w:t>’</w:t>
      </w:r>
      <w:r w:rsidRPr="00141643">
        <w:rPr>
          <w:rStyle w:val="y2iqfc"/>
          <w:rFonts w:ascii="Arial" w:hAnsi="Arial"/>
          <w:color w:val="202124"/>
        </w:rPr>
        <w:t>examen juridique de l</w:t>
      </w:r>
      <w:r w:rsidR="002F7D24" w:rsidRPr="00141643">
        <w:rPr>
          <w:rStyle w:val="y2iqfc"/>
          <w:rFonts w:ascii="Arial" w:hAnsi="Arial"/>
          <w:color w:val="202124"/>
        </w:rPr>
        <w:t>’</w:t>
      </w:r>
      <w:r w:rsidRPr="00141643">
        <w:rPr>
          <w:rStyle w:val="y2iqfc"/>
          <w:rFonts w:ascii="Arial" w:hAnsi="Arial"/>
          <w:color w:val="202124"/>
        </w:rPr>
        <w:t>ensemble des nouvelles armes, nouveaux moyens et nouvelles méthodes de guerre, afin de déterminer si leur emploi est interdit par le droit international</w:t>
      </w:r>
      <w:r w:rsidRPr="00141643">
        <w:rPr>
          <w:rStyle w:val="y2iqfc"/>
          <w:rFonts w:ascii="Arial" w:hAnsi="Arial"/>
        </w:rPr>
        <w:t>,</w:t>
      </w:r>
    </w:p>
    <w:p w14:paraId="2658009D" w14:textId="77777777" w:rsidR="00631CAF" w:rsidRPr="00141643" w:rsidRDefault="00631CAF" w:rsidP="006403E3">
      <w:pPr>
        <w:pStyle w:val="Default"/>
        <w:tabs>
          <w:tab w:val="left" w:pos="1134"/>
        </w:tabs>
        <w:rPr>
          <w:sz w:val="16"/>
          <w:szCs w:val="16"/>
        </w:rPr>
      </w:pPr>
    </w:p>
    <w:p w14:paraId="191C417B" w14:textId="754D52F9" w:rsidR="00631CAF" w:rsidRPr="00141643" w:rsidRDefault="00B17DD0" w:rsidP="006403E3">
      <w:pPr>
        <w:shd w:val="clear" w:color="auto" w:fill="FFFFFF"/>
        <w:tabs>
          <w:tab w:val="left" w:pos="1134"/>
        </w:tabs>
        <w:spacing w:line="240" w:lineRule="auto"/>
        <w:rPr>
          <w:rStyle w:val="y2iqfc"/>
          <w:sz w:val="20"/>
          <w:szCs w:val="20"/>
        </w:rPr>
      </w:pPr>
      <w:r w:rsidRPr="00141643">
        <w:rPr>
          <w:sz w:val="20"/>
        </w:rPr>
        <w:t xml:space="preserve">10) </w:t>
      </w:r>
      <w:r w:rsidR="006403E3" w:rsidRPr="00141643">
        <w:rPr>
          <w:sz w:val="20"/>
        </w:rPr>
        <w:tab/>
      </w:r>
      <w:r w:rsidRPr="00141643">
        <w:rPr>
          <w:i/>
          <w:sz w:val="20"/>
        </w:rPr>
        <w:t xml:space="preserve">sachant </w:t>
      </w:r>
      <w:r w:rsidRPr="00141643">
        <w:rPr>
          <w:sz w:val="20"/>
        </w:rPr>
        <w:t>qu</w:t>
      </w:r>
      <w:r w:rsidR="002F7D24" w:rsidRPr="00141643">
        <w:rPr>
          <w:sz w:val="20"/>
        </w:rPr>
        <w:t>’</w:t>
      </w:r>
      <w:r w:rsidRPr="00141643">
        <w:rPr>
          <w:sz w:val="20"/>
        </w:rPr>
        <w:t>en 2010, le rapport du Rapporteur spécial des Nations Unies sur les exécutions extrajudiciaires, sommaires ou arbitraires a attiré l</w:t>
      </w:r>
      <w:r w:rsidR="002F7D24" w:rsidRPr="00141643">
        <w:rPr>
          <w:sz w:val="20"/>
        </w:rPr>
        <w:t>’</w:t>
      </w:r>
      <w:r w:rsidRPr="00141643">
        <w:rPr>
          <w:sz w:val="20"/>
        </w:rPr>
        <w:t>attention de la communauté internationale sur la question des systèmes robotisés létaux autonomes et de la protection de la vie et que, depuis 2013, les Hautes Parties contractantes à la</w:t>
      </w:r>
      <w:r w:rsidRPr="00141643">
        <w:t xml:space="preserve"> </w:t>
      </w:r>
      <w:r w:rsidRPr="00141643">
        <w:rPr>
          <w:rStyle w:val="y2iqfc"/>
          <w:sz w:val="20"/>
        </w:rPr>
        <w:t>Convention sur l</w:t>
      </w:r>
      <w:r w:rsidR="002F7D24" w:rsidRPr="00141643">
        <w:rPr>
          <w:rStyle w:val="y2iqfc"/>
          <w:sz w:val="20"/>
        </w:rPr>
        <w:t>’</w:t>
      </w:r>
      <w:r w:rsidRPr="00141643">
        <w:rPr>
          <w:rStyle w:val="y2iqfc"/>
          <w:sz w:val="20"/>
        </w:rPr>
        <w:t>interdiction ou la limitation de l</w:t>
      </w:r>
      <w:r w:rsidR="002F7D24" w:rsidRPr="00141643">
        <w:rPr>
          <w:rStyle w:val="y2iqfc"/>
          <w:sz w:val="20"/>
        </w:rPr>
        <w:t>’</w:t>
      </w:r>
      <w:r w:rsidRPr="00141643">
        <w:rPr>
          <w:rStyle w:val="y2iqfc"/>
          <w:sz w:val="20"/>
        </w:rPr>
        <w:t>emploi de certaines armes classiques qui peuvent être considérées comme produisant des effets traumatiques excessifs ou comme frappant sans discrimination</w:t>
      </w:r>
      <w:r w:rsidRPr="00141643">
        <w:t xml:space="preserve">, </w:t>
      </w:r>
      <w:r w:rsidRPr="00141643">
        <w:rPr>
          <w:sz w:val="20"/>
        </w:rPr>
        <w:t>un instrument clé du</w:t>
      </w:r>
      <w:r w:rsidR="00C32EDA" w:rsidRPr="00141643">
        <w:rPr>
          <w:sz w:val="20"/>
        </w:rPr>
        <w:t xml:space="preserve"> DIH</w:t>
      </w:r>
      <w:r w:rsidRPr="00141643">
        <w:rPr>
          <w:rStyle w:val="y2iqfc"/>
          <w:sz w:val="20"/>
        </w:rPr>
        <w:t>, mènent des discussions sur la question et ont créé en 2016 un Groupe d</w:t>
      </w:r>
      <w:r w:rsidR="002F7D24" w:rsidRPr="00141643">
        <w:rPr>
          <w:rStyle w:val="y2iqfc"/>
          <w:sz w:val="20"/>
        </w:rPr>
        <w:t>’</w:t>
      </w:r>
      <w:r w:rsidRPr="00141643">
        <w:rPr>
          <w:rStyle w:val="y2iqfc"/>
          <w:sz w:val="20"/>
        </w:rPr>
        <w:t>experts gouvernementaux à composition non limitée chargé d</w:t>
      </w:r>
      <w:r w:rsidR="002F7D24" w:rsidRPr="00141643">
        <w:rPr>
          <w:rStyle w:val="y2iqfc"/>
          <w:sz w:val="20"/>
        </w:rPr>
        <w:t>’</w:t>
      </w:r>
      <w:r w:rsidRPr="00141643">
        <w:rPr>
          <w:rStyle w:val="y2iqfc"/>
          <w:sz w:val="20"/>
        </w:rPr>
        <w:t>étudier les questions ayant trait aux SALA, qui s</w:t>
      </w:r>
      <w:r w:rsidR="002F7D24" w:rsidRPr="00141643">
        <w:rPr>
          <w:rStyle w:val="y2iqfc"/>
          <w:sz w:val="20"/>
        </w:rPr>
        <w:t>’</w:t>
      </w:r>
      <w:r w:rsidRPr="00141643">
        <w:rPr>
          <w:rStyle w:val="y2iqfc"/>
          <w:sz w:val="20"/>
        </w:rPr>
        <w:t>est réuni chaque année depuis lors et qui est chargé de présenter un rapport à la septième Conférence d</w:t>
      </w:r>
      <w:r w:rsidR="002F7D24" w:rsidRPr="00141643">
        <w:rPr>
          <w:rStyle w:val="y2iqfc"/>
          <w:sz w:val="20"/>
        </w:rPr>
        <w:t>’</w:t>
      </w:r>
      <w:r w:rsidRPr="00141643">
        <w:rPr>
          <w:rStyle w:val="y2iqfc"/>
          <w:sz w:val="20"/>
        </w:rPr>
        <w:t>examen de la Convention sur l</w:t>
      </w:r>
      <w:r w:rsidR="002F7D24" w:rsidRPr="00141643">
        <w:rPr>
          <w:rStyle w:val="y2iqfc"/>
          <w:sz w:val="20"/>
        </w:rPr>
        <w:t>’</w:t>
      </w:r>
      <w:r w:rsidRPr="00141643">
        <w:rPr>
          <w:rStyle w:val="y2iqfc"/>
          <w:sz w:val="20"/>
        </w:rPr>
        <w:t>interdiction ou la limitation de l</w:t>
      </w:r>
      <w:r w:rsidR="002F7D24" w:rsidRPr="00141643">
        <w:rPr>
          <w:rStyle w:val="y2iqfc"/>
          <w:sz w:val="20"/>
        </w:rPr>
        <w:t>’</w:t>
      </w:r>
      <w:r w:rsidRPr="00141643">
        <w:rPr>
          <w:rStyle w:val="y2iqfc"/>
          <w:sz w:val="20"/>
        </w:rPr>
        <w:t>emploi de certaines armes classiques qui peuvent être considérées comme produisant des effets traumatiques excessifs ou comme frappant sans discrimination, prévue en 2026,</w:t>
      </w:r>
    </w:p>
    <w:p w14:paraId="6C08D93B" w14:textId="77777777" w:rsidR="00631CAF" w:rsidRPr="00141643" w:rsidRDefault="00631CAF" w:rsidP="006403E3">
      <w:pPr>
        <w:shd w:val="clear" w:color="auto" w:fill="FFFFFF"/>
        <w:tabs>
          <w:tab w:val="left" w:pos="1134"/>
        </w:tabs>
        <w:spacing w:line="240" w:lineRule="auto"/>
        <w:rPr>
          <w:rStyle w:val="y2iqfc"/>
          <w:color w:val="202124"/>
          <w:sz w:val="16"/>
          <w:szCs w:val="16"/>
        </w:rPr>
      </w:pPr>
    </w:p>
    <w:p w14:paraId="2A82AC90" w14:textId="32751A10" w:rsidR="00631CAF" w:rsidRPr="00141643" w:rsidRDefault="00B17DD0" w:rsidP="006403E3">
      <w:pPr>
        <w:pStyle w:val="pf0"/>
        <w:tabs>
          <w:tab w:val="left" w:pos="1134"/>
        </w:tabs>
        <w:spacing w:before="0" w:beforeAutospacing="0" w:after="0" w:afterAutospacing="0"/>
        <w:rPr>
          <w:rFonts w:ascii="Arial" w:hAnsi="Arial" w:cs="Arial"/>
          <w:sz w:val="20"/>
          <w:szCs w:val="20"/>
        </w:rPr>
      </w:pPr>
      <w:r w:rsidRPr="00141643">
        <w:rPr>
          <w:rFonts w:ascii="Arial" w:hAnsi="Arial"/>
          <w:sz w:val="20"/>
        </w:rPr>
        <w:t xml:space="preserve">11) </w:t>
      </w:r>
      <w:r w:rsidR="006403E3" w:rsidRPr="00141643">
        <w:rPr>
          <w:rFonts w:ascii="Arial" w:hAnsi="Arial"/>
          <w:sz w:val="20"/>
        </w:rPr>
        <w:tab/>
      </w:r>
      <w:r w:rsidRPr="00141643">
        <w:rPr>
          <w:rFonts w:ascii="Arial" w:hAnsi="Arial"/>
          <w:i/>
          <w:sz w:val="20"/>
        </w:rPr>
        <w:t xml:space="preserve">se félicitant </w:t>
      </w:r>
      <w:r w:rsidRPr="00141643">
        <w:rPr>
          <w:rFonts w:ascii="Arial" w:hAnsi="Arial"/>
          <w:sz w:val="20"/>
        </w:rPr>
        <w:t>du fait que, lors de ses réunions de 2023, le Groupe d</w:t>
      </w:r>
      <w:r w:rsidR="002F7D24" w:rsidRPr="00141643">
        <w:rPr>
          <w:rFonts w:ascii="Arial" w:hAnsi="Arial"/>
          <w:sz w:val="20"/>
        </w:rPr>
        <w:t>’</w:t>
      </w:r>
      <w:r w:rsidRPr="00141643">
        <w:rPr>
          <w:rFonts w:ascii="Arial" w:hAnsi="Arial"/>
          <w:sz w:val="20"/>
        </w:rPr>
        <w:t>experts gouvernementaux a souligné la nécessité d</w:t>
      </w:r>
      <w:r w:rsidR="002F7D24" w:rsidRPr="00141643">
        <w:rPr>
          <w:rFonts w:ascii="Arial" w:hAnsi="Arial"/>
          <w:sz w:val="20"/>
        </w:rPr>
        <w:t>’</w:t>
      </w:r>
      <w:r w:rsidRPr="00141643">
        <w:rPr>
          <w:rFonts w:ascii="Arial" w:hAnsi="Arial"/>
          <w:sz w:val="20"/>
        </w:rPr>
        <w:t>anticiper les avancées technologiques en matière de SALA, en appelant au strict respect du</w:t>
      </w:r>
      <w:r w:rsidR="00C32EDA" w:rsidRPr="00141643">
        <w:rPr>
          <w:rFonts w:ascii="Arial" w:hAnsi="Arial"/>
          <w:sz w:val="20"/>
        </w:rPr>
        <w:t xml:space="preserve"> DIH</w:t>
      </w:r>
      <w:r w:rsidRPr="00141643">
        <w:rPr>
          <w:rFonts w:ascii="Arial" w:hAnsi="Arial"/>
          <w:sz w:val="20"/>
        </w:rPr>
        <w:t xml:space="preserve"> tout au long du cycle de vie de ces systèmes, en rappelant la nécessité de fixer des limites concernant les cibles et les paramètres </w:t>
      </w:r>
      <w:r w:rsidR="002A7DC1" w:rsidRPr="00141643">
        <w:rPr>
          <w:rFonts w:ascii="Arial" w:hAnsi="Arial"/>
          <w:sz w:val="20"/>
        </w:rPr>
        <w:t>opérationnels</w:t>
      </w:r>
      <w:r w:rsidRPr="00141643">
        <w:rPr>
          <w:rFonts w:ascii="Arial" w:hAnsi="Arial"/>
          <w:sz w:val="20"/>
        </w:rPr>
        <w:t>, tout en proposant une formation complète aux opérateurs humains, et en affirmant avec force que tout système basé sur les SALA non conforme au droit international ne devrait être déployé,</w:t>
      </w:r>
    </w:p>
    <w:p w14:paraId="7222DB2A" w14:textId="77777777" w:rsidR="00631CAF" w:rsidRPr="00141643" w:rsidRDefault="00631CAF" w:rsidP="006403E3">
      <w:pPr>
        <w:pStyle w:val="pf0"/>
        <w:tabs>
          <w:tab w:val="left" w:pos="1134"/>
        </w:tabs>
        <w:spacing w:before="0" w:beforeAutospacing="0" w:after="0" w:afterAutospacing="0"/>
        <w:rPr>
          <w:rFonts w:ascii="Arial" w:hAnsi="Arial" w:cs="Arial"/>
          <w:sz w:val="16"/>
          <w:szCs w:val="16"/>
        </w:rPr>
      </w:pPr>
    </w:p>
    <w:p w14:paraId="3E3EC5B5" w14:textId="5175982D" w:rsidR="00631CAF" w:rsidRPr="00141643" w:rsidRDefault="00B17DD0" w:rsidP="006403E3">
      <w:pPr>
        <w:pStyle w:val="Default"/>
        <w:tabs>
          <w:tab w:val="left" w:pos="1134"/>
        </w:tabs>
        <w:rPr>
          <w:sz w:val="20"/>
          <w:szCs w:val="20"/>
        </w:rPr>
      </w:pPr>
      <w:r w:rsidRPr="00141643">
        <w:rPr>
          <w:sz w:val="20"/>
        </w:rPr>
        <w:t xml:space="preserve">12) </w:t>
      </w:r>
      <w:r w:rsidR="006403E3" w:rsidRPr="00141643">
        <w:rPr>
          <w:sz w:val="20"/>
        </w:rPr>
        <w:tab/>
      </w:r>
      <w:r w:rsidRPr="00141643">
        <w:rPr>
          <w:i/>
          <w:sz w:val="20"/>
        </w:rPr>
        <w:t xml:space="preserve">notant </w:t>
      </w:r>
      <w:r w:rsidRPr="00141643">
        <w:rPr>
          <w:sz w:val="20"/>
        </w:rPr>
        <w:t>que le Groupe d</w:t>
      </w:r>
      <w:r w:rsidR="002F7D24" w:rsidRPr="00141643">
        <w:rPr>
          <w:sz w:val="20"/>
        </w:rPr>
        <w:t>’</w:t>
      </w:r>
      <w:r w:rsidRPr="00141643">
        <w:rPr>
          <w:sz w:val="20"/>
        </w:rPr>
        <w:t>experts de haut niveau de la Commission européenne sur l</w:t>
      </w:r>
      <w:r w:rsidR="002F7D24" w:rsidRPr="00141643">
        <w:rPr>
          <w:sz w:val="20"/>
        </w:rPr>
        <w:t>’</w:t>
      </w:r>
      <w:r w:rsidRPr="00141643">
        <w:rPr>
          <w:sz w:val="20"/>
        </w:rPr>
        <w:t>intelligence artificielle a souligné, dans les lignes directrices de 2019 en matière d</w:t>
      </w:r>
      <w:r w:rsidR="002F7D24" w:rsidRPr="00141643">
        <w:rPr>
          <w:sz w:val="20"/>
        </w:rPr>
        <w:t>’</w:t>
      </w:r>
      <w:r w:rsidRPr="00141643">
        <w:rPr>
          <w:sz w:val="20"/>
        </w:rPr>
        <w:t xml:space="preserve">éthique pour une </w:t>
      </w:r>
      <w:r w:rsidR="005C6074" w:rsidRPr="00141643">
        <w:rPr>
          <w:sz w:val="20"/>
        </w:rPr>
        <w:t xml:space="preserve">IA </w:t>
      </w:r>
      <w:r w:rsidRPr="00141643">
        <w:rPr>
          <w:sz w:val="20"/>
        </w:rPr>
        <w:t>digne de confiance, l</w:t>
      </w:r>
      <w:r w:rsidR="002F7D24" w:rsidRPr="00141643">
        <w:rPr>
          <w:sz w:val="20"/>
        </w:rPr>
        <w:t>’</w:t>
      </w:r>
      <w:r w:rsidRPr="00141643">
        <w:rPr>
          <w:sz w:val="20"/>
        </w:rPr>
        <w:t>importance de l</w:t>
      </w:r>
      <w:r w:rsidR="002F7D24" w:rsidRPr="00141643">
        <w:rPr>
          <w:sz w:val="20"/>
        </w:rPr>
        <w:t>’</w:t>
      </w:r>
      <w:r w:rsidRPr="00141643">
        <w:rPr>
          <w:sz w:val="20"/>
        </w:rPr>
        <w:t>"action humaine et du contrôle humain" dans le domaine de</w:t>
      </w:r>
      <w:r w:rsidR="005C6074" w:rsidRPr="00141643">
        <w:rPr>
          <w:sz w:val="20"/>
        </w:rPr>
        <w:t xml:space="preserve"> l’IA</w:t>
      </w:r>
      <w:r w:rsidRPr="00141643">
        <w:rPr>
          <w:sz w:val="20"/>
        </w:rPr>
        <w:t xml:space="preserve"> et le fait que les pays doivent adopter des réglementations internes sur l</w:t>
      </w:r>
      <w:r w:rsidR="002F7D24" w:rsidRPr="00141643">
        <w:rPr>
          <w:sz w:val="20"/>
        </w:rPr>
        <w:t>’</w:t>
      </w:r>
      <w:r w:rsidRPr="00141643">
        <w:rPr>
          <w:sz w:val="20"/>
        </w:rPr>
        <w:t>utilisation de</w:t>
      </w:r>
      <w:r w:rsidR="005C6074" w:rsidRPr="00141643">
        <w:rPr>
          <w:sz w:val="20"/>
        </w:rPr>
        <w:t xml:space="preserve"> l’IA</w:t>
      </w:r>
      <w:r w:rsidRPr="00141643">
        <w:rPr>
          <w:sz w:val="20"/>
        </w:rPr>
        <w:t xml:space="preserve"> </w:t>
      </w:r>
      <w:r w:rsidR="00A813B2" w:rsidRPr="00141643">
        <w:rPr>
          <w:sz w:val="20"/>
        </w:rPr>
        <w:t>qui soient conformes</w:t>
      </w:r>
      <w:r w:rsidRPr="00141643">
        <w:rPr>
          <w:sz w:val="20"/>
        </w:rPr>
        <w:t xml:space="preserve"> au</w:t>
      </w:r>
      <w:r w:rsidR="00A33D07" w:rsidRPr="00141643">
        <w:rPr>
          <w:sz w:val="20"/>
        </w:rPr>
        <w:t xml:space="preserve"> DIH</w:t>
      </w:r>
      <w:r w:rsidRPr="00141643">
        <w:rPr>
          <w:sz w:val="20"/>
        </w:rPr>
        <w:t>, c</w:t>
      </w:r>
      <w:r w:rsidR="002F7D24" w:rsidRPr="00141643">
        <w:rPr>
          <w:sz w:val="20"/>
        </w:rPr>
        <w:t>’</w:t>
      </w:r>
      <w:r w:rsidRPr="00141643">
        <w:rPr>
          <w:sz w:val="20"/>
        </w:rPr>
        <w:t xml:space="preserve">est-à-dire </w:t>
      </w:r>
      <w:r w:rsidR="00544266" w:rsidRPr="00141643">
        <w:rPr>
          <w:sz w:val="20"/>
        </w:rPr>
        <w:t xml:space="preserve">pouvoir </w:t>
      </w:r>
      <w:r w:rsidRPr="00141643">
        <w:rPr>
          <w:sz w:val="20"/>
        </w:rPr>
        <w:t>préserver le contrôle et le jugement humains dans les applications de l</w:t>
      </w:r>
      <w:r w:rsidR="002F7D24" w:rsidRPr="00141643">
        <w:rPr>
          <w:sz w:val="20"/>
        </w:rPr>
        <w:t>’</w:t>
      </w:r>
      <w:r w:rsidR="00D93A2D" w:rsidRPr="00141643">
        <w:rPr>
          <w:sz w:val="20"/>
        </w:rPr>
        <w:t>IA</w:t>
      </w:r>
      <w:r w:rsidRPr="00141643">
        <w:rPr>
          <w:sz w:val="20"/>
        </w:rPr>
        <w:t xml:space="preserve"> et de l</w:t>
      </w:r>
      <w:r w:rsidR="002F7D24" w:rsidRPr="00141643">
        <w:rPr>
          <w:sz w:val="20"/>
        </w:rPr>
        <w:t>’</w:t>
      </w:r>
      <w:r w:rsidRPr="00141643">
        <w:rPr>
          <w:sz w:val="20"/>
        </w:rPr>
        <w:t xml:space="preserve">apprentissage automatique concernant les tâches comprises </w:t>
      </w:r>
      <w:r w:rsidR="0040323B" w:rsidRPr="00141643">
        <w:rPr>
          <w:sz w:val="20"/>
        </w:rPr>
        <w:t xml:space="preserve">dans </w:t>
      </w:r>
      <w:r w:rsidRPr="00141643">
        <w:rPr>
          <w:sz w:val="20"/>
        </w:rPr>
        <w:t>les décisions susceptibles d</w:t>
      </w:r>
      <w:r w:rsidR="002F7D24" w:rsidRPr="00141643">
        <w:rPr>
          <w:sz w:val="20"/>
        </w:rPr>
        <w:t>’</w:t>
      </w:r>
      <w:r w:rsidRPr="00141643">
        <w:rPr>
          <w:sz w:val="20"/>
        </w:rPr>
        <w:t>avoir des conséquences graves pour la vie des personnes, ce qui implique de refuser (ou d</w:t>
      </w:r>
      <w:r w:rsidR="002F7D24" w:rsidRPr="00141643">
        <w:rPr>
          <w:sz w:val="20"/>
        </w:rPr>
        <w:t>’</w:t>
      </w:r>
      <w:r w:rsidRPr="00141643">
        <w:rPr>
          <w:sz w:val="20"/>
        </w:rPr>
        <w:t>interdire) l</w:t>
      </w:r>
      <w:r w:rsidR="002F7D24" w:rsidRPr="00141643">
        <w:rPr>
          <w:sz w:val="20"/>
        </w:rPr>
        <w:t>’</w:t>
      </w:r>
      <w:r w:rsidRPr="00141643">
        <w:rPr>
          <w:sz w:val="20"/>
        </w:rPr>
        <w:t>utilisation des SALA,</w:t>
      </w:r>
    </w:p>
    <w:p w14:paraId="09337684" w14:textId="77777777" w:rsidR="00631CAF" w:rsidRPr="00141643" w:rsidRDefault="00631CAF" w:rsidP="006403E3">
      <w:pPr>
        <w:pStyle w:val="Default"/>
        <w:tabs>
          <w:tab w:val="left" w:pos="1134"/>
        </w:tabs>
        <w:rPr>
          <w:sz w:val="16"/>
          <w:szCs w:val="16"/>
        </w:rPr>
      </w:pPr>
    </w:p>
    <w:p w14:paraId="16565D8E" w14:textId="113CAC23" w:rsidR="00631CAF" w:rsidRPr="00141643" w:rsidRDefault="00B17DD0" w:rsidP="006403E3">
      <w:pPr>
        <w:pStyle w:val="Default"/>
        <w:tabs>
          <w:tab w:val="left" w:pos="1134"/>
        </w:tabs>
        <w:rPr>
          <w:sz w:val="20"/>
          <w:szCs w:val="20"/>
        </w:rPr>
      </w:pPr>
      <w:r w:rsidRPr="00141643">
        <w:rPr>
          <w:sz w:val="20"/>
        </w:rPr>
        <w:t xml:space="preserve">13) </w:t>
      </w:r>
      <w:r w:rsidR="006403E3" w:rsidRPr="00141643">
        <w:rPr>
          <w:sz w:val="20"/>
        </w:rPr>
        <w:tab/>
      </w:r>
      <w:r w:rsidRPr="00141643">
        <w:rPr>
          <w:i/>
          <w:sz w:val="20"/>
        </w:rPr>
        <w:t>prenant acte</w:t>
      </w:r>
      <w:r w:rsidRPr="00141643">
        <w:rPr>
          <w:sz w:val="20"/>
        </w:rPr>
        <w:t xml:space="preserve"> de </w:t>
      </w:r>
      <w:r w:rsidR="002F7D24" w:rsidRPr="00141643">
        <w:rPr>
          <w:sz w:val="20"/>
        </w:rPr>
        <w:t>l’</w:t>
      </w:r>
      <w:r w:rsidRPr="00141643">
        <w:rPr>
          <w:sz w:val="20"/>
        </w:rPr>
        <w:t xml:space="preserve">adoption </w:t>
      </w:r>
      <w:r w:rsidR="002F7D24" w:rsidRPr="00141643">
        <w:rPr>
          <w:sz w:val="20"/>
        </w:rPr>
        <w:t xml:space="preserve">de </w:t>
      </w:r>
      <w:r w:rsidR="0082098B" w:rsidRPr="00141643">
        <w:rPr>
          <w:sz w:val="20"/>
        </w:rPr>
        <w:t xml:space="preserve">la </w:t>
      </w:r>
      <w:r w:rsidR="002F7D24" w:rsidRPr="00141643">
        <w:rPr>
          <w:sz w:val="20"/>
          <w:szCs w:val="20"/>
        </w:rPr>
        <w:t xml:space="preserve">résolution </w:t>
      </w:r>
      <w:r w:rsidR="0082098B" w:rsidRPr="009F4FE6">
        <w:rPr>
          <w:sz w:val="20"/>
          <w:szCs w:val="20"/>
        </w:rPr>
        <w:t>78/241</w:t>
      </w:r>
      <w:r w:rsidRPr="00141643">
        <w:rPr>
          <w:sz w:val="20"/>
        </w:rPr>
        <w:t xml:space="preserve"> </w:t>
      </w:r>
      <w:r w:rsidR="0082098B" w:rsidRPr="00141643">
        <w:rPr>
          <w:sz w:val="20"/>
        </w:rPr>
        <w:t>de l’Assemblée général</w:t>
      </w:r>
      <w:r w:rsidR="00BF0B2E" w:rsidRPr="00141643">
        <w:rPr>
          <w:sz w:val="20"/>
        </w:rPr>
        <w:t>e</w:t>
      </w:r>
      <w:r w:rsidR="0082098B" w:rsidRPr="00141643">
        <w:rPr>
          <w:sz w:val="20"/>
        </w:rPr>
        <w:t xml:space="preserve"> des Nations Unies </w:t>
      </w:r>
      <w:r w:rsidRPr="00141643">
        <w:rPr>
          <w:sz w:val="20"/>
        </w:rPr>
        <w:t xml:space="preserve">en </w:t>
      </w:r>
      <w:r w:rsidR="0082098B" w:rsidRPr="00141643">
        <w:rPr>
          <w:sz w:val="20"/>
        </w:rPr>
        <w:t xml:space="preserve">décembre </w:t>
      </w:r>
      <w:r w:rsidRPr="00141643">
        <w:rPr>
          <w:sz w:val="20"/>
        </w:rPr>
        <w:t>2023, qui prie notamment le Secrétaire général de l</w:t>
      </w:r>
      <w:r w:rsidR="002F7D24" w:rsidRPr="00141643">
        <w:rPr>
          <w:sz w:val="20"/>
        </w:rPr>
        <w:t>’</w:t>
      </w:r>
      <w:r w:rsidRPr="00141643">
        <w:rPr>
          <w:sz w:val="20"/>
        </w:rPr>
        <w:t>O</w:t>
      </w:r>
      <w:r w:rsidR="00544266" w:rsidRPr="00141643">
        <w:rPr>
          <w:sz w:val="20"/>
        </w:rPr>
        <w:t>rganisation</w:t>
      </w:r>
      <w:r w:rsidRPr="00141643">
        <w:rPr>
          <w:sz w:val="20"/>
        </w:rPr>
        <w:t xml:space="preserve"> de présenter un rapport de fond sur la question</w:t>
      </w:r>
      <w:r w:rsidR="00544266" w:rsidRPr="00141643">
        <w:rPr>
          <w:sz w:val="20"/>
        </w:rPr>
        <w:t>, qui</w:t>
      </w:r>
      <w:r w:rsidRPr="00141643">
        <w:rPr>
          <w:sz w:val="20"/>
        </w:rPr>
        <w:t xml:space="preserve"> rend</w:t>
      </w:r>
      <w:r w:rsidR="00544266" w:rsidRPr="00141643">
        <w:rPr>
          <w:sz w:val="20"/>
        </w:rPr>
        <w:t>e</w:t>
      </w:r>
      <w:r w:rsidRPr="00141643">
        <w:rPr>
          <w:sz w:val="20"/>
        </w:rPr>
        <w:t xml:space="preserve"> compte de l</w:t>
      </w:r>
      <w:r w:rsidR="002F7D24" w:rsidRPr="00141643">
        <w:rPr>
          <w:sz w:val="20"/>
        </w:rPr>
        <w:t>’</w:t>
      </w:r>
      <w:r w:rsidRPr="00141643">
        <w:rPr>
          <w:sz w:val="20"/>
        </w:rPr>
        <w:t>ensemble des vues exprimées par les États membres et les États observateurs sur les moyens d</w:t>
      </w:r>
      <w:r w:rsidR="002F7D24" w:rsidRPr="00141643">
        <w:rPr>
          <w:sz w:val="20"/>
        </w:rPr>
        <w:t>’</w:t>
      </w:r>
      <w:r w:rsidRPr="00141643">
        <w:rPr>
          <w:sz w:val="20"/>
        </w:rPr>
        <w:t xml:space="preserve">agir face aux enjeux et aux inquiétudes que ces systèmes soulèvent </w:t>
      </w:r>
      <w:r w:rsidR="00544266" w:rsidRPr="00141643">
        <w:rPr>
          <w:sz w:val="20"/>
        </w:rPr>
        <w:t>à différents</w:t>
      </w:r>
      <w:r w:rsidRPr="00141643">
        <w:rPr>
          <w:sz w:val="20"/>
        </w:rPr>
        <w:t xml:space="preserve"> </w:t>
      </w:r>
      <w:r w:rsidR="00544266" w:rsidRPr="00141643">
        <w:rPr>
          <w:sz w:val="20"/>
        </w:rPr>
        <w:t>niveaux</w:t>
      </w:r>
      <w:r w:rsidRPr="00141643">
        <w:rPr>
          <w:sz w:val="20"/>
        </w:rPr>
        <w:t>, et d</w:t>
      </w:r>
      <w:r w:rsidR="002F7D24" w:rsidRPr="00141643">
        <w:rPr>
          <w:sz w:val="20"/>
        </w:rPr>
        <w:t>’</w:t>
      </w:r>
      <w:r w:rsidRPr="00141643">
        <w:rPr>
          <w:sz w:val="20"/>
        </w:rPr>
        <w:t xml:space="preserve">inviter les organisations internationales et régionales, le CICR, la société civile, la communauté scientifique et </w:t>
      </w:r>
      <w:r w:rsidR="004F02CE" w:rsidRPr="00141643">
        <w:rPr>
          <w:sz w:val="20"/>
        </w:rPr>
        <w:t>l’industrie</w:t>
      </w:r>
      <w:r w:rsidRPr="00141643">
        <w:rPr>
          <w:sz w:val="20"/>
        </w:rPr>
        <w:t xml:space="preserve"> à faire part de leurs points de vue,</w:t>
      </w:r>
    </w:p>
    <w:p w14:paraId="0A4FBB86" w14:textId="77777777" w:rsidR="00631CAF" w:rsidRPr="00141643" w:rsidRDefault="00631CAF" w:rsidP="006403E3">
      <w:pPr>
        <w:pStyle w:val="Default"/>
        <w:tabs>
          <w:tab w:val="left" w:pos="1134"/>
        </w:tabs>
        <w:rPr>
          <w:sz w:val="16"/>
          <w:szCs w:val="16"/>
        </w:rPr>
      </w:pPr>
    </w:p>
    <w:p w14:paraId="2FD9BA3B" w14:textId="7E0D0CE6" w:rsidR="00631CAF" w:rsidRPr="00141643" w:rsidRDefault="00B17DD0" w:rsidP="006403E3">
      <w:pPr>
        <w:pStyle w:val="Default"/>
        <w:tabs>
          <w:tab w:val="left" w:pos="1134"/>
        </w:tabs>
        <w:rPr>
          <w:sz w:val="20"/>
          <w:szCs w:val="20"/>
        </w:rPr>
      </w:pPr>
      <w:r w:rsidRPr="00141643">
        <w:rPr>
          <w:sz w:val="20"/>
        </w:rPr>
        <w:t xml:space="preserve">14) </w:t>
      </w:r>
      <w:r w:rsidR="006403E3" w:rsidRPr="00141643">
        <w:rPr>
          <w:sz w:val="20"/>
        </w:rPr>
        <w:tab/>
      </w:r>
      <w:r w:rsidRPr="00141643">
        <w:rPr>
          <w:i/>
          <w:sz w:val="20"/>
        </w:rPr>
        <w:t>sachant</w:t>
      </w:r>
      <w:r w:rsidRPr="00141643">
        <w:rPr>
          <w:sz w:val="20"/>
        </w:rPr>
        <w:t xml:space="preserve"> que, depuis 2018, le Secrétaire général de l</w:t>
      </w:r>
      <w:r w:rsidR="002F7D24" w:rsidRPr="00141643">
        <w:rPr>
          <w:sz w:val="20"/>
        </w:rPr>
        <w:t>’</w:t>
      </w:r>
      <w:r w:rsidRPr="00141643">
        <w:rPr>
          <w:sz w:val="20"/>
        </w:rPr>
        <w:t>ONU n</w:t>
      </w:r>
      <w:r w:rsidR="002F7D24" w:rsidRPr="00141643">
        <w:rPr>
          <w:sz w:val="20"/>
        </w:rPr>
        <w:t>’</w:t>
      </w:r>
      <w:r w:rsidRPr="00141643">
        <w:rPr>
          <w:sz w:val="20"/>
        </w:rPr>
        <w:t>a eu de cesse d</w:t>
      </w:r>
      <w:r w:rsidR="002F7D24" w:rsidRPr="00141643">
        <w:rPr>
          <w:sz w:val="20"/>
        </w:rPr>
        <w:t>’</w:t>
      </w:r>
      <w:r w:rsidRPr="00141643">
        <w:rPr>
          <w:sz w:val="20"/>
        </w:rPr>
        <w:t xml:space="preserve">affirmer que les SALA sont politiquement inacceptables et moralement répugnants et a appelé à leur interdiction en vertu du droit international, et que, lors de la présentation du Nouvel Agenda pour la paix </w:t>
      </w:r>
      <w:r w:rsidR="00F63697" w:rsidRPr="00141643">
        <w:rPr>
          <w:sz w:val="20"/>
        </w:rPr>
        <w:t>en amont du</w:t>
      </w:r>
      <w:r w:rsidRPr="00141643">
        <w:rPr>
          <w:sz w:val="20"/>
        </w:rPr>
        <w:t xml:space="preserve"> Sommet de l</w:t>
      </w:r>
      <w:r w:rsidR="002F7D24" w:rsidRPr="00141643">
        <w:rPr>
          <w:sz w:val="20"/>
        </w:rPr>
        <w:t>’</w:t>
      </w:r>
      <w:r w:rsidRPr="00141643">
        <w:rPr>
          <w:sz w:val="20"/>
        </w:rPr>
        <w:t xml:space="preserve">avenir de 2024, il a en outre appelé les </w:t>
      </w:r>
      <w:r w:rsidR="00E33DA6" w:rsidRPr="00141643">
        <w:rPr>
          <w:sz w:val="20"/>
        </w:rPr>
        <w:t xml:space="preserve">États </w:t>
      </w:r>
      <w:r w:rsidRPr="00141643">
        <w:rPr>
          <w:sz w:val="20"/>
        </w:rPr>
        <w:t xml:space="preserve">à adopter, </w:t>
      </w:r>
      <w:r w:rsidR="00AD5726" w:rsidRPr="00141643">
        <w:rPr>
          <w:sz w:val="20"/>
        </w:rPr>
        <w:t>d’ici à</w:t>
      </w:r>
      <w:r w:rsidR="00041216" w:rsidRPr="00141643">
        <w:rPr>
          <w:sz w:val="20"/>
        </w:rPr>
        <w:t> </w:t>
      </w:r>
      <w:r w:rsidRPr="00141643">
        <w:rPr>
          <w:sz w:val="20"/>
        </w:rPr>
        <w:t xml:space="preserve">2026, un instrument juridiquement contraignant visant à interdire </w:t>
      </w:r>
      <w:r w:rsidR="00AD5726" w:rsidRPr="00141643">
        <w:rPr>
          <w:sz w:val="20"/>
        </w:rPr>
        <w:t xml:space="preserve">les </w:t>
      </w:r>
      <w:r w:rsidRPr="00141643">
        <w:rPr>
          <w:sz w:val="20"/>
        </w:rPr>
        <w:t xml:space="preserve">SALA </w:t>
      </w:r>
      <w:r w:rsidR="00AD5726" w:rsidRPr="00141643">
        <w:rPr>
          <w:sz w:val="20"/>
        </w:rPr>
        <w:t xml:space="preserve">qui </w:t>
      </w:r>
      <w:r w:rsidRPr="00141643">
        <w:rPr>
          <w:sz w:val="20"/>
        </w:rPr>
        <w:t>fonctionn</w:t>
      </w:r>
      <w:r w:rsidR="00AD5726" w:rsidRPr="00141643">
        <w:rPr>
          <w:sz w:val="20"/>
        </w:rPr>
        <w:t>e</w:t>
      </w:r>
      <w:r w:rsidRPr="00141643">
        <w:rPr>
          <w:sz w:val="20"/>
        </w:rPr>
        <w:t>nt sans contrôle ou surveillance humaine et à réglementer tous les autres types de systèmes d</w:t>
      </w:r>
      <w:r w:rsidR="002F7D24" w:rsidRPr="00141643">
        <w:rPr>
          <w:sz w:val="20"/>
        </w:rPr>
        <w:t>’</w:t>
      </w:r>
      <w:r w:rsidRPr="00141643">
        <w:rPr>
          <w:sz w:val="20"/>
        </w:rPr>
        <w:t>armes autonomes,</w:t>
      </w:r>
    </w:p>
    <w:p w14:paraId="4ECA25E6" w14:textId="77777777" w:rsidR="00631CAF" w:rsidRPr="00141643" w:rsidRDefault="00631CAF" w:rsidP="006403E3">
      <w:pPr>
        <w:pStyle w:val="Default"/>
        <w:tabs>
          <w:tab w:val="left" w:pos="1134"/>
        </w:tabs>
        <w:rPr>
          <w:sz w:val="14"/>
          <w:szCs w:val="14"/>
        </w:rPr>
      </w:pPr>
    </w:p>
    <w:p w14:paraId="3C1CD8CC" w14:textId="38CC11F5" w:rsidR="00631CAF" w:rsidRPr="00141643" w:rsidRDefault="00B17DD0" w:rsidP="006403E3">
      <w:pPr>
        <w:pStyle w:val="Default"/>
        <w:tabs>
          <w:tab w:val="left" w:pos="1134"/>
        </w:tabs>
        <w:rPr>
          <w:sz w:val="20"/>
        </w:rPr>
      </w:pPr>
      <w:r w:rsidRPr="00141643">
        <w:rPr>
          <w:sz w:val="20"/>
        </w:rPr>
        <w:t xml:space="preserve">15) </w:t>
      </w:r>
      <w:r w:rsidR="006403E3" w:rsidRPr="00141643">
        <w:rPr>
          <w:sz w:val="20"/>
        </w:rPr>
        <w:tab/>
      </w:r>
      <w:r w:rsidRPr="00141643">
        <w:rPr>
          <w:i/>
          <w:sz w:val="20"/>
        </w:rPr>
        <w:t xml:space="preserve">sachant </w:t>
      </w:r>
      <w:r w:rsidR="005A4592" w:rsidRPr="00141643">
        <w:rPr>
          <w:i/>
          <w:sz w:val="20"/>
        </w:rPr>
        <w:t>également</w:t>
      </w:r>
      <w:r w:rsidRPr="00141643">
        <w:rPr>
          <w:sz w:val="20"/>
        </w:rPr>
        <w:t xml:space="preserve"> que le Rapporteur spécial des Nations Unies sur les exécutions extrajudiciaires, sommaires ou arbitraires, le Rapporteur spécial des Nations Unies sur les droits des personnes handicapées, le Rapporteur spécial des Nations Unies sur les formes contemporaines de racisme, le Rapporteur spécial des Nations Unies sur la lutte contre le terrorisme et les droits de l</w:t>
      </w:r>
      <w:r w:rsidR="002F7D24" w:rsidRPr="00141643">
        <w:rPr>
          <w:sz w:val="20"/>
        </w:rPr>
        <w:t>’</w:t>
      </w:r>
      <w:r w:rsidRPr="00141643">
        <w:rPr>
          <w:sz w:val="20"/>
        </w:rPr>
        <w:t xml:space="preserve">homme, le CICR, la société civile, notamment par le biais de la Campagne pour arrêter les robots tueurs, la communauté scientifique et le monde universitaire </w:t>
      </w:r>
      <w:r w:rsidR="00213FDB" w:rsidRPr="00141643">
        <w:rPr>
          <w:sz w:val="20"/>
        </w:rPr>
        <w:t xml:space="preserve">se sont joints à </w:t>
      </w:r>
      <w:r w:rsidRPr="00141643">
        <w:rPr>
          <w:sz w:val="20"/>
        </w:rPr>
        <w:t>l</w:t>
      </w:r>
      <w:r w:rsidR="002F7D24" w:rsidRPr="00141643">
        <w:rPr>
          <w:sz w:val="20"/>
        </w:rPr>
        <w:t>’</w:t>
      </w:r>
      <w:r w:rsidRPr="00141643">
        <w:rPr>
          <w:sz w:val="20"/>
        </w:rPr>
        <w:t>appel lancé par le Secrétaire général de l</w:t>
      </w:r>
      <w:r w:rsidR="002F7D24" w:rsidRPr="00141643">
        <w:rPr>
          <w:sz w:val="20"/>
        </w:rPr>
        <w:t>’</w:t>
      </w:r>
      <w:r w:rsidRPr="00141643">
        <w:rPr>
          <w:sz w:val="20"/>
        </w:rPr>
        <w:t>ONU en faveur d</w:t>
      </w:r>
      <w:r w:rsidR="002F7D24" w:rsidRPr="00141643">
        <w:rPr>
          <w:sz w:val="20"/>
        </w:rPr>
        <w:t>’</w:t>
      </w:r>
      <w:r w:rsidRPr="00141643">
        <w:rPr>
          <w:sz w:val="20"/>
        </w:rPr>
        <w:t>une interdiction mondiale des SALA,</w:t>
      </w:r>
    </w:p>
    <w:p w14:paraId="12866C7C" w14:textId="5EA67F94" w:rsidR="00631CAF" w:rsidRPr="00141643" w:rsidRDefault="00B17DD0" w:rsidP="006403E3">
      <w:pPr>
        <w:pStyle w:val="Default"/>
        <w:tabs>
          <w:tab w:val="left" w:pos="1134"/>
        </w:tabs>
        <w:rPr>
          <w:rFonts w:eastAsia="Arial"/>
          <w:sz w:val="20"/>
          <w:szCs w:val="20"/>
        </w:rPr>
      </w:pPr>
      <w:r w:rsidRPr="00141643">
        <w:rPr>
          <w:sz w:val="20"/>
        </w:rPr>
        <w:lastRenderedPageBreak/>
        <w:t xml:space="preserve">16) </w:t>
      </w:r>
      <w:r w:rsidR="006403E3" w:rsidRPr="00141643">
        <w:rPr>
          <w:sz w:val="20"/>
        </w:rPr>
        <w:tab/>
      </w:r>
      <w:r w:rsidRPr="00141643">
        <w:rPr>
          <w:i/>
          <w:sz w:val="20"/>
        </w:rPr>
        <w:t>ayant à l</w:t>
      </w:r>
      <w:r w:rsidR="002F7D24" w:rsidRPr="00141643">
        <w:rPr>
          <w:i/>
          <w:sz w:val="20"/>
        </w:rPr>
        <w:t>’</w:t>
      </w:r>
      <w:r w:rsidRPr="00141643">
        <w:rPr>
          <w:i/>
          <w:sz w:val="20"/>
        </w:rPr>
        <w:t>esprit</w:t>
      </w:r>
      <w:r w:rsidRPr="00141643">
        <w:rPr>
          <w:sz w:val="20"/>
        </w:rPr>
        <w:t xml:space="preserve"> que de nombreux pays et groupes de pays ont déjà appelé à la mise en place d</w:t>
      </w:r>
      <w:r w:rsidR="002F7D24" w:rsidRPr="00141643">
        <w:rPr>
          <w:sz w:val="20"/>
        </w:rPr>
        <w:t>’</w:t>
      </w:r>
      <w:r w:rsidRPr="00141643">
        <w:rPr>
          <w:sz w:val="20"/>
        </w:rPr>
        <w:t>un instrument contraignant pour réglementer, limiter et/ou interdire l</w:t>
      </w:r>
      <w:r w:rsidR="002F7D24" w:rsidRPr="00141643">
        <w:rPr>
          <w:sz w:val="20"/>
        </w:rPr>
        <w:t>’</w:t>
      </w:r>
      <w:r w:rsidRPr="00141643">
        <w:rPr>
          <w:sz w:val="20"/>
        </w:rPr>
        <w:t>utilisation des SALA,</w:t>
      </w:r>
    </w:p>
    <w:p w14:paraId="49FC9C33" w14:textId="77777777" w:rsidR="00631CAF" w:rsidRPr="00141643" w:rsidRDefault="00631CAF" w:rsidP="006403E3">
      <w:pPr>
        <w:pStyle w:val="Default"/>
        <w:tabs>
          <w:tab w:val="left" w:pos="1134"/>
        </w:tabs>
        <w:rPr>
          <w:rFonts w:eastAsia="Arial"/>
          <w:sz w:val="20"/>
          <w:szCs w:val="20"/>
        </w:rPr>
      </w:pPr>
    </w:p>
    <w:p w14:paraId="7B01317B" w14:textId="3479346C" w:rsidR="00631CAF" w:rsidRPr="00141643" w:rsidRDefault="00B17DD0" w:rsidP="006403E3">
      <w:pPr>
        <w:pStyle w:val="Default"/>
        <w:tabs>
          <w:tab w:val="left" w:pos="1134"/>
        </w:tabs>
        <w:rPr>
          <w:sz w:val="20"/>
          <w:szCs w:val="20"/>
        </w:rPr>
      </w:pPr>
      <w:r w:rsidRPr="00141643">
        <w:rPr>
          <w:sz w:val="20"/>
          <w:szCs w:val="20"/>
        </w:rPr>
        <w:t>17)</w:t>
      </w:r>
      <w:r w:rsidRPr="00141643">
        <w:rPr>
          <w:sz w:val="20"/>
        </w:rPr>
        <w:t xml:space="preserve"> </w:t>
      </w:r>
      <w:r w:rsidR="006403E3" w:rsidRPr="00141643">
        <w:rPr>
          <w:sz w:val="20"/>
        </w:rPr>
        <w:tab/>
      </w:r>
      <w:r w:rsidRPr="00141643">
        <w:rPr>
          <w:i/>
          <w:sz w:val="20"/>
        </w:rPr>
        <w:t>estimant</w:t>
      </w:r>
      <w:r w:rsidRPr="00141643">
        <w:rPr>
          <w:sz w:val="20"/>
        </w:rPr>
        <w:t xml:space="preserve"> qu</w:t>
      </w:r>
      <w:r w:rsidR="002F7D24" w:rsidRPr="00141643">
        <w:rPr>
          <w:sz w:val="20"/>
        </w:rPr>
        <w:t>’</w:t>
      </w:r>
      <w:r w:rsidRPr="00141643">
        <w:rPr>
          <w:sz w:val="20"/>
        </w:rPr>
        <w:t>une action urgente et concrète est nécessaire pour élaborer un instrument international juridiquement contraignant, d</w:t>
      </w:r>
      <w:r w:rsidR="002F7D24" w:rsidRPr="00141643">
        <w:rPr>
          <w:sz w:val="20"/>
        </w:rPr>
        <w:t>’</w:t>
      </w:r>
      <w:r w:rsidRPr="00141643">
        <w:rPr>
          <w:sz w:val="20"/>
        </w:rPr>
        <w:t>autant plus que des systèmes autonomes ont déjà été utilisés dans des pays tels que l</w:t>
      </w:r>
      <w:r w:rsidR="002F7D24" w:rsidRPr="00141643">
        <w:rPr>
          <w:sz w:val="20"/>
        </w:rPr>
        <w:t>’</w:t>
      </w:r>
      <w:r w:rsidRPr="00141643">
        <w:rPr>
          <w:sz w:val="20"/>
        </w:rPr>
        <w:t>Afghanistan, l</w:t>
      </w:r>
      <w:r w:rsidR="002F7D24" w:rsidRPr="00141643">
        <w:rPr>
          <w:sz w:val="20"/>
        </w:rPr>
        <w:t>’</w:t>
      </w:r>
      <w:r w:rsidRPr="00141643">
        <w:rPr>
          <w:sz w:val="20"/>
        </w:rPr>
        <w:t>Azerbaïdjan et l</w:t>
      </w:r>
      <w:r w:rsidR="002F7D24" w:rsidRPr="00141643">
        <w:rPr>
          <w:sz w:val="20"/>
        </w:rPr>
        <w:t>’</w:t>
      </w:r>
      <w:r w:rsidRPr="00141643">
        <w:rPr>
          <w:sz w:val="20"/>
        </w:rPr>
        <w:t>Ukraine, au détriment de la vie des personnes, et que le développement et l</w:t>
      </w:r>
      <w:r w:rsidR="002F7D24" w:rsidRPr="00141643">
        <w:rPr>
          <w:sz w:val="20"/>
        </w:rPr>
        <w:t>’</w:t>
      </w:r>
      <w:r w:rsidRPr="00141643">
        <w:rPr>
          <w:sz w:val="20"/>
        </w:rPr>
        <w:t>utilisation de ces systèmes ne feront que s</w:t>
      </w:r>
      <w:r w:rsidR="002F7D24" w:rsidRPr="00141643">
        <w:rPr>
          <w:sz w:val="20"/>
        </w:rPr>
        <w:t>’</w:t>
      </w:r>
      <w:r w:rsidRPr="00141643">
        <w:rPr>
          <w:sz w:val="20"/>
        </w:rPr>
        <w:t xml:space="preserve">accroître </w:t>
      </w:r>
      <w:r w:rsidR="00213FDB" w:rsidRPr="00141643">
        <w:rPr>
          <w:sz w:val="20"/>
        </w:rPr>
        <w:t>au fil du</w:t>
      </w:r>
      <w:r w:rsidRPr="00141643">
        <w:rPr>
          <w:sz w:val="20"/>
        </w:rPr>
        <w:t xml:space="preserve"> temps,</w:t>
      </w:r>
    </w:p>
    <w:p w14:paraId="77D43D88" w14:textId="77777777" w:rsidR="00631CAF" w:rsidRPr="00141643" w:rsidRDefault="00631CAF" w:rsidP="006403E3">
      <w:pPr>
        <w:pStyle w:val="Default"/>
        <w:tabs>
          <w:tab w:val="left" w:pos="1134"/>
        </w:tabs>
        <w:rPr>
          <w:sz w:val="20"/>
          <w:szCs w:val="20"/>
        </w:rPr>
      </w:pPr>
    </w:p>
    <w:p w14:paraId="2449825E" w14:textId="28DCDD0A" w:rsidR="00631CAF" w:rsidRPr="00141643" w:rsidRDefault="00B17DD0" w:rsidP="006403E3">
      <w:pPr>
        <w:pStyle w:val="Default"/>
        <w:tabs>
          <w:tab w:val="left" w:pos="1134"/>
        </w:tabs>
        <w:rPr>
          <w:sz w:val="20"/>
          <w:szCs w:val="20"/>
        </w:rPr>
      </w:pPr>
      <w:r w:rsidRPr="00141643">
        <w:rPr>
          <w:sz w:val="20"/>
        </w:rPr>
        <w:t xml:space="preserve">18) </w:t>
      </w:r>
      <w:r w:rsidR="006403E3" w:rsidRPr="00141643">
        <w:rPr>
          <w:sz w:val="20"/>
        </w:rPr>
        <w:tab/>
      </w:r>
      <w:r w:rsidRPr="00141643">
        <w:rPr>
          <w:i/>
          <w:sz w:val="20"/>
        </w:rPr>
        <w:t>considérant</w:t>
      </w:r>
      <w:r w:rsidRPr="00141643">
        <w:rPr>
          <w:sz w:val="20"/>
        </w:rPr>
        <w:t xml:space="preserve"> les objectifs et les principes inscrits dans la Charte des Nations Unies, le droit international des droits de l</w:t>
      </w:r>
      <w:r w:rsidR="002F7D24" w:rsidRPr="00141643">
        <w:rPr>
          <w:sz w:val="20"/>
        </w:rPr>
        <w:t>’</w:t>
      </w:r>
      <w:r w:rsidRPr="00141643">
        <w:rPr>
          <w:sz w:val="20"/>
        </w:rPr>
        <w:t xml:space="preserve">homme et le </w:t>
      </w:r>
      <w:r w:rsidR="00C67543" w:rsidRPr="00141643">
        <w:rPr>
          <w:sz w:val="20"/>
        </w:rPr>
        <w:t>DIH</w:t>
      </w:r>
      <w:r w:rsidRPr="00141643">
        <w:rPr>
          <w:sz w:val="20"/>
        </w:rPr>
        <w:t xml:space="preserve"> et ses principes, fondés sur des principes d</w:t>
      </w:r>
      <w:r w:rsidR="002F7D24" w:rsidRPr="00141643">
        <w:rPr>
          <w:sz w:val="20"/>
        </w:rPr>
        <w:t>’</w:t>
      </w:r>
      <w:r w:rsidRPr="00141643">
        <w:rPr>
          <w:sz w:val="20"/>
        </w:rPr>
        <w:t>humanité, les impératifs de la conscience publique et des considérations éthiques,</w:t>
      </w:r>
    </w:p>
    <w:p w14:paraId="331B22A5" w14:textId="77777777" w:rsidR="00631CAF" w:rsidRPr="00141643" w:rsidRDefault="00631CAF" w:rsidP="006403E3">
      <w:pPr>
        <w:pStyle w:val="Default"/>
        <w:tabs>
          <w:tab w:val="left" w:pos="1134"/>
        </w:tabs>
        <w:rPr>
          <w:sz w:val="20"/>
          <w:szCs w:val="20"/>
        </w:rPr>
      </w:pPr>
    </w:p>
    <w:p w14:paraId="330CED42" w14:textId="07D9BDFF" w:rsidR="00631CAF" w:rsidRPr="00141643" w:rsidRDefault="00B17DD0" w:rsidP="006403E3">
      <w:pPr>
        <w:pStyle w:val="Default"/>
        <w:tabs>
          <w:tab w:val="left" w:pos="1134"/>
        </w:tabs>
        <w:rPr>
          <w:sz w:val="20"/>
          <w:szCs w:val="20"/>
        </w:rPr>
      </w:pPr>
      <w:r w:rsidRPr="00141643">
        <w:rPr>
          <w:sz w:val="20"/>
        </w:rPr>
        <w:t xml:space="preserve">19) </w:t>
      </w:r>
      <w:r w:rsidR="006403E3" w:rsidRPr="00141643">
        <w:rPr>
          <w:sz w:val="20"/>
        </w:rPr>
        <w:tab/>
      </w:r>
      <w:r w:rsidRPr="00141643">
        <w:rPr>
          <w:i/>
          <w:sz w:val="20"/>
        </w:rPr>
        <w:t>réaffirmant</w:t>
      </w:r>
      <w:r w:rsidRPr="00141643">
        <w:rPr>
          <w:sz w:val="20"/>
        </w:rPr>
        <w:t xml:space="preserve"> l</w:t>
      </w:r>
      <w:r w:rsidR="002F7D24" w:rsidRPr="00141643">
        <w:rPr>
          <w:sz w:val="20"/>
        </w:rPr>
        <w:t>’</w:t>
      </w:r>
      <w:r w:rsidRPr="00141643">
        <w:rPr>
          <w:sz w:val="20"/>
        </w:rPr>
        <w:t>engagement de respecter les principes de prévisibilité et de proportionnalité énoncés dans le</w:t>
      </w:r>
      <w:r w:rsidR="00C67543" w:rsidRPr="00141643">
        <w:rPr>
          <w:sz w:val="20"/>
        </w:rPr>
        <w:t xml:space="preserve"> DIH</w:t>
      </w:r>
      <w:r w:rsidRPr="00141643">
        <w:rPr>
          <w:sz w:val="20"/>
        </w:rPr>
        <w:t>, dans la mesure où la boîte noire de l</w:t>
      </w:r>
      <w:r w:rsidR="002F7D24" w:rsidRPr="00141643">
        <w:rPr>
          <w:sz w:val="20"/>
        </w:rPr>
        <w:t>’</w:t>
      </w:r>
      <w:r w:rsidR="00D93A2D" w:rsidRPr="00141643">
        <w:rPr>
          <w:sz w:val="20"/>
        </w:rPr>
        <w:t>IA</w:t>
      </w:r>
      <w:r w:rsidRPr="00141643">
        <w:rPr>
          <w:sz w:val="20"/>
        </w:rPr>
        <w:t xml:space="preserve"> pourrait entraver la capacité des </w:t>
      </w:r>
      <w:r w:rsidR="00E33DA6" w:rsidRPr="00141643">
        <w:rPr>
          <w:sz w:val="20"/>
        </w:rPr>
        <w:t xml:space="preserve">États </w:t>
      </w:r>
      <w:r w:rsidRPr="00141643">
        <w:rPr>
          <w:sz w:val="20"/>
        </w:rPr>
        <w:t>à se conformer à ces principes,</w:t>
      </w:r>
    </w:p>
    <w:p w14:paraId="11F6C43D" w14:textId="77777777" w:rsidR="00631CAF" w:rsidRPr="00141643" w:rsidRDefault="00631CAF" w:rsidP="006403E3">
      <w:pPr>
        <w:pStyle w:val="Default"/>
        <w:tabs>
          <w:tab w:val="left" w:pos="1134"/>
        </w:tabs>
        <w:rPr>
          <w:sz w:val="20"/>
          <w:szCs w:val="20"/>
        </w:rPr>
      </w:pPr>
    </w:p>
    <w:p w14:paraId="42D301AC" w14:textId="17A23331" w:rsidR="00631CAF" w:rsidRPr="00141643" w:rsidRDefault="00B17DD0" w:rsidP="006403E3">
      <w:pPr>
        <w:pStyle w:val="Default"/>
        <w:tabs>
          <w:tab w:val="left" w:pos="1134"/>
        </w:tabs>
        <w:rPr>
          <w:sz w:val="20"/>
          <w:szCs w:val="20"/>
        </w:rPr>
      </w:pPr>
      <w:r w:rsidRPr="00141643">
        <w:rPr>
          <w:sz w:val="20"/>
        </w:rPr>
        <w:t xml:space="preserve">20) </w:t>
      </w:r>
      <w:r w:rsidR="006403E3" w:rsidRPr="00141643">
        <w:rPr>
          <w:sz w:val="20"/>
        </w:rPr>
        <w:tab/>
      </w:r>
      <w:r w:rsidRPr="00141643">
        <w:rPr>
          <w:i/>
          <w:sz w:val="20"/>
        </w:rPr>
        <w:t>vivement préoccupée</w:t>
      </w:r>
      <w:r w:rsidRPr="00141643">
        <w:rPr>
          <w:sz w:val="20"/>
        </w:rPr>
        <w:t xml:space="preserve"> par le fait que plus les pays attendent pour réglementer le développement, la production, le déploiement et le transfert de systèmes d</w:t>
      </w:r>
      <w:r w:rsidR="002F7D24" w:rsidRPr="00141643">
        <w:rPr>
          <w:sz w:val="20"/>
        </w:rPr>
        <w:t>’</w:t>
      </w:r>
      <w:r w:rsidRPr="00141643">
        <w:rPr>
          <w:sz w:val="20"/>
        </w:rPr>
        <w:t xml:space="preserve">armes autonomes, plus il est probable que ces systèmes </w:t>
      </w:r>
      <w:r w:rsidR="007226DD" w:rsidRPr="00141643">
        <w:rPr>
          <w:sz w:val="20"/>
        </w:rPr>
        <w:t xml:space="preserve">puissent circuler </w:t>
      </w:r>
      <w:r w:rsidRPr="00141643">
        <w:rPr>
          <w:sz w:val="20"/>
        </w:rPr>
        <w:t>sur un marché non réglementé,</w:t>
      </w:r>
    </w:p>
    <w:p w14:paraId="33F3EF17" w14:textId="77777777" w:rsidR="00631CAF" w:rsidRPr="00141643" w:rsidRDefault="00631CAF" w:rsidP="006403E3">
      <w:pPr>
        <w:shd w:val="clear" w:color="auto" w:fill="FFFFFF"/>
        <w:tabs>
          <w:tab w:val="left" w:pos="1134"/>
        </w:tabs>
        <w:spacing w:line="240" w:lineRule="auto"/>
        <w:rPr>
          <w:sz w:val="20"/>
          <w:szCs w:val="20"/>
        </w:rPr>
      </w:pPr>
    </w:p>
    <w:p w14:paraId="30280366" w14:textId="4492A994" w:rsidR="00631CAF" w:rsidRPr="00141643" w:rsidRDefault="00B17DD0" w:rsidP="006403E3">
      <w:pPr>
        <w:shd w:val="clear" w:color="auto" w:fill="FFFFFF"/>
        <w:tabs>
          <w:tab w:val="left" w:pos="1134"/>
        </w:tabs>
        <w:spacing w:line="240" w:lineRule="auto"/>
        <w:rPr>
          <w:i/>
          <w:iCs/>
          <w:sz w:val="20"/>
          <w:szCs w:val="20"/>
        </w:rPr>
      </w:pPr>
      <w:bookmarkStart w:id="13" w:name="_Hlk155103682"/>
      <w:r w:rsidRPr="00141643">
        <w:rPr>
          <w:sz w:val="20"/>
        </w:rPr>
        <w:t xml:space="preserve">21) </w:t>
      </w:r>
      <w:r w:rsidR="006403E3" w:rsidRPr="00141643">
        <w:rPr>
          <w:sz w:val="20"/>
        </w:rPr>
        <w:tab/>
      </w:r>
      <w:r w:rsidRPr="00141643">
        <w:rPr>
          <w:i/>
          <w:sz w:val="20"/>
        </w:rPr>
        <w:t>soulignant</w:t>
      </w:r>
      <w:r w:rsidRPr="00141643">
        <w:rPr>
          <w:sz w:val="20"/>
        </w:rPr>
        <w:t xml:space="preserve"> que les parlements auront un rôle important à jouer pour sensibiliser aux </w:t>
      </w:r>
      <w:r w:rsidR="005F6AC6" w:rsidRPr="00141643">
        <w:rPr>
          <w:sz w:val="20"/>
        </w:rPr>
        <w:t>conséquences</w:t>
      </w:r>
      <w:r w:rsidRPr="00141643">
        <w:rPr>
          <w:sz w:val="20"/>
        </w:rPr>
        <w:t xml:space="preserve"> soci</w:t>
      </w:r>
      <w:r w:rsidR="00F348A1" w:rsidRPr="00141643">
        <w:rPr>
          <w:sz w:val="20"/>
        </w:rPr>
        <w:t>a</w:t>
      </w:r>
      <w:r w:rsidR="005F6AC6" w:rsidRPr="00141643">
        <w:rPr>
          <w:sz w:val="20"/>
        </w:rPr>
        <w:t>les</w:t>
      </w:r>
      <w:r w:rsidRPr="00141643">
        <w:rPr>
          <w:sz w:val="20"/>
        </w:rPr>
        <w:t>, humanitaires, juridiques et éthiques de l</w:t>
      </w:r>
      <w:r w:rsidR="002F7D24" w:rsidRPr="00141643">
        <w:rPr>
          <w:sz w:val="20"/>
        </w:rPr>
        <w:t>’</w:t>
      </w:r>
      <w:r w:rsidRPr="00141643">
        <w:rPr>
          <w:sz w:val="20"/>
        </w:rPr>
        <w:t xml:space="preserve">utilisation des SALA et pour aider </w:t>
      </w:r>
      <w:r w:rsidR="00BF5F7D" w:rsidRPr="00141643">
        <w:rPr>
          <w:sz w:val="20"/>
        </w:rPr>
        <w:t>l’exécutif</w:t>
      </w:r>
      <w:r w:rsidRPr="00141643">
        <w:rPr>
          <w:sz w:val="20"/>
        </w:rPr>
        <w:t xml:space="preserve"> à rédiger le texte d</w:t>
      </w:r>
      <w:r w:rsidR="002F7D24" w:rsidRPr="00141643">
        <w:rPr>
          <w:sz w:val="20"/>
        </w:rPr>
        <w:t>’</w:t>
      </w:r>
      <w:r w:rsidRPr="00141643">
        <w:rPr>
          <w:sz w:val="20"/>
        </w:rPr>
        <w:t>un instrument juridiquement contraignant visant à réglementer et à interdire ces systèmes,</w:t>
      </w:r>
    </w:p>
    <w:bookmarkEnd w:id="13"/>
    <w:p w14:paraId="0A1722D2" w14:textId="77777777" w:rsidR="00631CAF" w:rsidRPr="00141643" w:rsidRDefault="00631CAF" w:rsidP="006403E3">
      <w:pPr>
        <w:tabs>
          <w:tab w:val="left" w:pos="1134"/>
        </w:tabs>
        <w:spacing w:line="240" w:lineRule="auto"/>
        <w:rPr>
          <w:rFonts w:eastAsia="Times New Roman"/>
          <w:i/>
          <w:iCs/>
          <w:sz w:val="20"/>
          <w:szCs w:val="20"/>
        </w:rPr>
      </w:pPr>
    </w:p>
    <w:p w14:paraId="349F7FB2" w14:textId="158BFE0D" w:rsidR="00631CAF" w:rsidRPr="00141643" w:rsidRDefault="006403E3" w:rsidP="00222116">
      <w:pPr>
        <w:pStyle w:val="NormalWeb"/>
        <w:tabs>
          <w:tab w:val="left" w:pos="1134"/>
        </w:tabs>
        <w:spacing w:before="0" w:beforeAutospacing="0" w:after="0" w:afterAutospacing="0"/>
        <w:ind w:left="1134" w:hanging="567"/>
        <w:rPr>
          <w:rFonts w:ascii="Arial" w:hAnsi="Arial" w:cs="Arial"/>
          <w:sz w:val="20"/>
          <w:szCs w:val="20"/>
        </w:rPr>
      </w:pPr>
      <w:r w:rsidRPr="00141643">
        <w:rPr>
          <w:rFonts w:ascii="Arial" w:hAnsi="Arial"/>
          <w:iCs/>
          <w:sz w:val="20"/>
        </w:rPr>
        <w:t>1.</w:t>
      </w:r>
      <w:r w:rsidRPr="00141643">
        <w:rPr>
          <w:rFonts w:ascii="Arial" w:hAnsi="Arial"/>
          <w:iCs/>
          <w:sz w:val="20"/>
        </w:rPr>
        <w:tab/>
      </w:r>
      <w:r w:rsidR="00B17DD0" w:rsidRPr="00141643">
        <w:rPr>
          <w:rFonts w:ascii="Arial" w:hAnsi="Arial"/>
          <w:i/>
          <w:sz w:val="20"/>
        </w:rPr>
        <w:t>exhorte</w:t>
      </w:r>
      <w:r w:rsidR="00B17DD0" w:rsidRPr="00141643">
        <w:rPr>
          <w:rFonts w:ascii="Arial" w:hAnsi="Arial"/>
          <w:sz w:val="20"/>
        </w:rPr>
        <w:t xml:space="preserve"> les parlements et les parlementaires à participer rapidement et activement au débat sur la menace que les SALA font peser sur la paix et la sécurité</w:t>
      </w:r>
      <w:r w:rsidR="00AD1040" w:rsidRPr="00141643">
        <w:rPr>
          <w:rFonts w:ascii="Arial" w:hAnsi="Arial"/>
          <w:sz w:val="20"/>
        </w:rPr>
        <w:t> </w:t>
      </w:r>
      <w:r w:rsidR="00B17DD0" w:rsidRPr="00141643">
        <w:rPr>
          <w:rFonts w:ascii="Arial" w:hAnsi="Arial"/>
          <w:sz w:val="20"/>
        </w:rPr>
        <w:t>;</w:t>
      </w:r>
    </w:p>
    <w:p w14:paraId="65F2AC59" w14:textId="77777777" w:rsidR="00631CAF" w:rsidRPr="00141643" w:rsidRDefault="00631CAF" w:rsidP="00222116">
      <w:pPr>
        <w:pStyle w:val="NormalWeb"/>
        <w:tabs>
          <w:tab w:val="left" w:pos="1134"/>
        </w:tabs>
        <w:spacing w:before="0" w:beforeAutospacing="0" w:after="0" w:afterAutospacing="0"/>
        <w:ind w:left="1134" w:hanging="567"/>
        <w:rPr>
          <w:rFonts w:ascii="Arial" w:hAnsi="Arial" w:cs="Arial"/>
          <w:i/>
          <w:iCs/>
          <w:sz w:val="20"/>
          <w:szCs w:val="20"/>
        </w:rPr>
      </w:pPr>
    </w:p>
    <w:p w14:paraId="29CAC69F" w14:textId="140A24B1" w:rsidR="00631CAF" w:rsidRPr="00141643" w:rsidRDefault="006403E3" w:rsidP="00222116">
      <w:pPr>
        <w:pStyle w:val="NormalWeb"/>
        <w:tabs>
          <w:tab w:val="left" w:pos="1134"/>
        </w:tabs>
        <w:spacing w:before="0" w:beforeAutospacing="0" w:after="0" w:afterAutospacing="0"/>
        <w:ind w:left="1134" w:hanging="567"/>
        <w:rPr>
          <w:rFonts w:ascii="Arial" w:hAnsi="Arial" w:cs="Arial"/>
          <w:sz w:val="20"/>
          <w:szCs w:val="20"/>
        </w:rPr>
      </w:pPr>
      <w:bookmarkStart w:id="14" w:name="_Hlk155103222"/>
      <w:r w:rsidRPr="00141643">
        <w:rPr>
          <w:rFonts w:ascii="Arial" w:hAnsi="Arial"/>
          <w:iCs/>
          <w:sz w:val="20"/>
        </w:rPr>
        <w:t>2.</w:t>
      </w:r>
      <w:r w:rsidRPr="00141643">
        <w:rPr>
          <w:rFonts w:ascii="Arial" w:hAnsi="Arial"/>
          <w:iCs/>
          <w:sz w:val="20"/>
        </w:rPr>
        <w:tab/>
      </w:r>
      <w:r w:rsidR="00B17DD0" w:rsidRPr="00141643">
        <w:rPr>
          <w:rFonts w:ascii="Arial" w:hAnsi="Arial"/>
          <w:i/>
          <w:sz w:val="20"/>
        </w:rPr>
        <w:t>exhorte vivement</w:t>
      </w:r>
      <w:r w:rsidR="00B17DD0" w:rsidRPr="00141643">
        <w:rPr>
          <w:rFonts w:ascii="Arial" w:hAnsi="Arial"/>
          <w:sz w:val="20"/>
        </w:rPr>
        <w:t xml:space="preserve"> les parlements à élaborer une législation nationale sur la réglementation des </w:t>
      </w:r>
      <w:r w:rsidR="007E1EBB" w:rsidRPr="00141643">
        <w:rPr>
          <w:rFonts w:ascii="Arial" w:hAnsi="Arial"/>
          <w:sz w:val="20"/>
        </w:rPr>
        <w:t>SALA</w:t>
      </w:r>
      <w:r w:rsidR="00B17DD0" w:rsidRPr="00141643">
        <w:rPr>
          <w:rFonts w:ascii="Arial" w:hAnsi="Arial"/>
          <w:sz w:val="20"/>
        </w:rPr>
        <w:t xml:space="preserve"> qui </w:t>
      </w:r>
      <w:r w:rsidR="00B17DD0" w:rsidRPr="00141643">
        <w:rPr>
          <w:rStyle w:val="y2iqfc"/>
          <w:rFonts w:ascii="Arial" w:hAnsi="Arial"/>
          <w:color w:val="202124"/>
          <w:sz w:val="20"/>
        </w:rPr>
        <w:t xml:space="preserve">tienne compte de </w:t>
      </w:r>
      <w:bookmarkEnd w:id="14"/>
      <w:r w:rsidR="005F6AC6" w:rsidRPr="00141643">
        <w:rPr>
          <w:rStyle w:val="y2iqfc"/>
          <w:rFonts w:ascii="Arial" w:hAnsi="Arial"/>
          <w:color w:val="202124"/>
          <w:sz w:val="20"/>
        </w:rPr>
        <w:t>toutes leurs conséquences sur les plans éthique, juridique, humanitaire et sécuritaire</w:t>
      </w:r>
      <w:r w:rsidR="00B17DD0" w:rsidRPr="00141643">
        <w:rPr>
          <w:rStyle w:val="y2iqfc"/>
          <w:rFonts w:ascii="Arial" w:hAnsi="Arial"/>
          <w:color w:val="202124"/>
          <w:sz w:val="20"/>
        </w:rPr>
        <w:t>, et</w:t>
      </w:r>
      <w:r w:rsidR="00B17DD0" w:rsidRPr="00141643">
        <w:rPr>
          <w:rFonts w:ascii="Arial" w:hAnsi="Arial"/>
          <w:sz w:val="20"/>
        </w:rPr>
        <w:t xml:space="preserve"> qui </w:t>
      </w:r>
      <w:r w:rsidR="00C12A9F" w:rsidRPr="00141643">
        <w:rPr>
          <w:rFonts w:ascii="Arial" w:hAnsi="Arial"/>
          <w:sz w:val="20"/>
        </w:rPr>
        <w:t>comprenne l’interdiction</w:t>
      </w:r>
      <w:r w:rsidR="00B17DD0" w:rsidRPr="00141643">
        <w:rPr>
          <w:rFonts w:ascii="Arial" w:hAnsi="Arial"/>
          <w:sz w:val="20"/>
        </w:rPr>
        <w:t xml:space="preserve"> des SALA </w:t>
      </w:r>
      <w:r w:rsidR="00C12A9F" w:rsidRPr="00141643">
        <w:rPr>
          <w:rFonts w:ascii="Arial" w:hAnsi="Arial"/>
          <w:sz w:val="20"/>
        </w:rPr>
        <w:t>qui fonctionnent sans contrôle ou surveillance humain</w:t>
      </w:r>
      <w:r w:rsidR="003F486A" w:rsidRPr="00141643">
        <w:rPr>
          <w:rFonts w:ascii="Arial" w:hAnsi="Arial"/>
          <w:sz w:val="20"/>
        </w:rPr>
        <w:t>s</w:t>
      </w:r>
      <w:r w:rsidR="00C12A9F" w:rsidRPr="00141643">
        <w:rPr>
          <w:rFonts w:ascii="Arial" w:hAnsi="Arial"/>
          <w:sz w:val="20"/>
        </w:rPr>
        <w:t xml:space="preserve"> et qui ne peuvent être utilisés dans le respect du DIH </w:t>
      </w:r>
      <w:r w:rsidR="00B17DD0" w:rsidRPr="00141643">
        <w:rPr>
          <w:rFonts w:ascii="Arial" w:hAnsi="Arial"/>
          <w:sz w:val="20"/>
        </w:rPr>
        <w:t>;</w:t>
      </w:r>
    </w:p>
    <w:p w14:paraId="63329801" w14:textId="77777777" w:rsidR="00631CAF" w:rsidRPr="00141643" w:rsidRDefault="00631CAF" w:rsidP="00222116">
      <w:pPr>
        <w:pStyle w:val="NormalWeb"/>
        <w:tabs>
          <w:tab w:val="left" w:pos="1134"/>
        </w:tabs>
        <w:spacing w:before="0" w:beforeAutospacing="0" w:after="0" w:afterAutospacing="0"/>
        <w:ind w:left="1134" w:hanging="567"/>
        <w:rPr>
          <w:rFonts w:ascii="Arial" w:hAnsi="Arial" w:cs="Arial"/>
          <w:i/>
          <w:iCs/>
          <w:sz w:val="20"/>
          <w:szCs w:val="20"/>
        </w:rPr>
      </w:pPr>
    </w:p>
    <w:p w14:paraId="26FE3AD4" w14:textId="0DDC5133" w:rsidR="00631CAF" w:rsidRPr="00141643" w:rsidRDefault="006403E3" w:rsidP="00222116">
      <w:pPr>
        <w:pStyle w:val="NormalWeb"/>
        <w:tabs>
          <w:tab w:val="left" w:pos="1134"/>
        </w:tabs>
        <w:spacing w:before="0" w:beforeAutospacing="0" w:after="0" w:afterAutospacing="0"/>
        <w:ind w:left="1134" w:hanging="567"/>
        <w:rPr>
          <w:rFonts w:ascii="Arial" w:hAnsi="Arial" w:cs="Arial"/>
          <w:sz w:val="20"/>
          <w:szCs w:val="20"/>
        </w:rPr>
      </w:pPr>
      <w:r w:rsidRPr="00141643">
        <w:rPr>
          <w:rFonts w:ascii="Arial" w:hAnsi="Arial"/>
          <w:iCs/>
          <w:sz w:val="20"/>
        </w:rPr>
        <w:t>3.</w:t>
      </w:r>
      <w:r w:rsidRPr="00141643">
        <w:rPr>
          <w:rFonts w:ascii="Arial" w:hAnsi="Arial"/>
          <w:iCs/>
          <w:sz w:val="20"/>
        </w:rPr>
        <w:tab/>
      </w:r>
      <w:r w:rsidR="00B17DD0" w:rsidRPr="00141643">
        <w:rPr>
          <w:rFonts w:ascii="Arial" w:hAnsi="Arial"/>
          <w:i/>
          <w:sz w:val="20"/>
        </w:rPr>
        <w:t xml:space="preserve">invite </w:t>
      </w:r>
      <w:r w:rsidR="00B17DD0" w:rsidRPr="00141643">
        <w:rPr>
          <w:rFonts w:ascii="Arial" w:hAnsi="Arial"/>
          <w:sz w:val="20"/>
        </w:rPr>
        <w:t>les parlements à exhorter leur gouvernement à négocier un instrument juridiquement contraignant comportant des interdictions et une réglementation sur l</w:t>
      </w:r>
      <w:r w:rsidR="002F7D24" w:rsidRPr="00141643">
        <w:rPr>
          <w:rFonts w:ascii="Arial" w:hAnsi="Arial"/>
          <w:sz w:val="20"/>
        </w:rPr>
        <w:t>’</w:t>
      </w:r>
      <w:r w:rsidR="00B17DD0" w:rsidRPr="00141643">
        <w:rPr>
          <w:rFonts w:ascii="Arial" w:hAnsi="Arial"/>
          <w:sz w:val="20"/>
        </w:rPr>
        <w:t>autonomie des systèmes d</w:t>
      </w:r>
      <w:r w:rsidR="002F7D24" w:rsidRPr="00141643">
        <w:rPr>
          <w:rFonts w:ascii="Arial" w:hAnsi="Arial"/>
          <w:sz w:val="20"/>
        </w:rPr>
        <w:t>’</w:t>
      </w:r>
      <w:r w:rsidR="00B17DD0" w:rsidRPr="00141643">
        <w:rPr>
          <w:rFonts w:ascii="Arial" w:hAnsi="Arial"/>
          <w:sz w:val="20"/>
        </w:rPr>
        <w:t>armes, afin de garantir le respect du droit international, notamment le</w:t>
      </w:r>
      <w:r w:rsidR="00A93B2C" w:rsidRPr="00141643">
        <w:rPr>
          <w:rFonts w:ascii="Arial" w:hAnsi="Arial"/>
          <w:sz w:val="20"/>
        </w:rPr>
        <w:t xml:space="preserve"> DIH</w:t>
      </w:r>
      <w:r w:rsidR="00B17DD0" w:rsidRPr="00141643">
        <w:rPr>
          <w:rFonts w:ascii="Arial" w:hAnsi="Arial"/>
          <w:sz w:val="20"/>
        </w:rPr>
        <w:t>, et des considérations éthiques, ainsi que la prévention de l</w:t>
      </w:r>
      <w:r w:rsidR="002F7D24" w:rsidRPr="00141643">
        <w:rPr>
          <w:rFonts w:ascii="Arial" w:hAnsi="Arial"/>
          <w:sz w:val="20"/>
        </w:rPr>
        <w:t>’</w:t>
      </w:r>
      <w:r w:rsidR="00B17DD0" w:rsidRPr="00141643">
        <w:rPr>
          <w:rFonts w:ascii="Arial" w:hAnsi="Arial"/>
          <w:sz w:val="20"/>
        </w:rPr>
        <w:t>impact sur la paix et la sécurité que suppose l</w:t>
      </w:r>
      <w:r w:rsidR="002F7D24" w:rsidRPr="00141643">
        <w:rPr>
          <w:rFonts w:ascii="Arial" w:hAnsi="Arial"/>
          <w:sz w:val="20"/>
        </w:rPr>
        <w:t>’</w:t>
      </w:r>
      <w:r w:rsidR="00B17DD0" w:rsidRPr="00141643">
        <w:rPr>
          <w:rFonts w:ascii="Arial" w:hAnsi="Arial"/>
          <w:sz w:val="20"/>
        </w:rPr>
        <w:t>autonomie des systèmes d</w:t>
      </w:r>
      <w:r w:rsidR="002F7D24" w:rsidRPr="00141643">
        <w:rPr>
          <w:rFonts w:ascii="Arial" w:hAnsi="Arial"/>
          <w:sz w:val="20"/>
        </w:rPr>
        <w:t>’</w:t>
      </w:r>
      <w:r w:rsidR="00B17DD0" w:rsidRPr="00141643">
        <w:rPr>
          <w:rFonts w:ascii="Arial" w:hAnsi="Arial"/>
          <w:sz w:val="20"/>
        </w:rPr>
        <w:t>armes</w:t>
      </w:r>
      <w:r w:rsidR="00B3222F" w:rsidRPr="00141643">
        <w:rPr>
          <w:rFonts w:ascii="Arial" w:hAnsi="Arial"/>
          <w:sz w:val="20"/>
        </w:rPr>
        <w:t> </w:t>
      </w:r>
      <w:r w:rsidR="00B17DD0" w:rsidRPr="00141643">
        <w:rPr>
          <w:rFonts w:ascii="Arial" w:hAnsi="Arial"/>
          <w:sz w:val="20"/>
        </w:rPr>
        <w:t>;</w:t>
      </w:r>
    </w:p>
    <w:p w14:paraId="0223900A" w14:textId="77777777" w:rsidR="00631CAF" w:rsidRPr="00141643" w:rsidRDefault="00631CAF" w:rsidP="00222116">
      <w:pPr>
        <w:pStyle w:val="Paragraphedeliste"/>
        <w:tabs>
          <w:tab w:val="left" w:pos="1134"/>
        </w:tabs>
        <w:ind w:left="1134" w:hanging="567"/>
        <w:rPr>
          <w:sz w:val="20"/>
          <w:szCs w:val="20"/>
        </w:rPr>
      </w:pPr>
    </w:p>
    <w:p w14:paraId="29598BE0" w14:textId="629EF445" w:rsidR="00631CAF" w:rsidRPr="00141643" w:rsidRDefault="006403E3" w:rsidP="00222116">
      <w:pPr>
        <w:pStyle w:val="NormalWeb"/>
        <w:tabs>
          <w:tab w:val="left" w:pos="1134"/>
        </w:tabs>
        <w:spacing w:before="0" w:beforeAutospacing="0" w:after="0" w:afterAutospacing="0"/>
        <w:ind w:left="1134" w:hanging="567"/>
        <w:rPr>
          <w:rFonts w:ascii="Arial" w:hAnsi="Arial" w:cs="Arial"/>
          <w:sz w:val="20"/>
          <w:szCs w:val="20"/>
        </w:rPr>
      </w:pPr>
      <w:r w:rsidRPr="00141643">
        <w:rPr>
          <w:rFonts w:ascii="Arial" w:hAnsi="Arial"/>
          <w:iCs/>
          <w:sz w:val="20"/>
        </w:rPr>
        <w:t>4.</w:t>
      </w:r>
      <w:r w:rsidRPr="00141643">
        <w:rPr>
          <w:rFonts w:ascii="Arial" w:hAnsi="Arial"/>
          <w:iCs/>
          <w:sz w:val="20"/>
        </w:rPr>
        <w:tab/>
      </w:r>
      <w:r w:rsidR="00B17DD0" w:rsidRPr="00141643">
        <w:rPr>
          <w:rFonts w:ascii="Arial" w:hAnsi="Arial"/>
          <w:i/>
          <w:sz w:val="20"/>
        </w:rPr>
        <w:t xml:space="preserve">invite </w:t>
      </w:r>
      <w:r w:rsidR="005A4592" w:rsidRPr="00141643">
        <w:rPr>
          <w:rFonts w:ascii="Arial" w:hAnsi="Arial"/>
          <w:i/>
          <w:sz w:val="20"/>
        </w:rPr>
        <w:t>également</w:t>
      </w:r>
      <w:r w:rsidR="00B17DD0" w:rsidRPr="00141643">
        <w:rPr>
          <w:rFonts w:ascii="Arial" w:hAnsi="Arial"/>
          <w:i/>
          <w:sz w:val="20"/>
        </w:rPr>
        <w:t xml:space="preserve"> </w:t>
      </w:r>
      <w:r w:rsidR="00B17DD0" w:rsidRPr="00141643">
        <w:rPr>
          <w:rFonts w:ascii="Arial" w:hAnsi="Arial"/>
          <w:sz w:val="20"/>
        </w:rPr>
        <w:t>les parlements à exhorter leur gouvernement à communiquer au Secrétaire général de l</w:t>
      </w:r>
      <w:r w:rsidR="002F7D24" w:rsidRPr="00141643">
        <w:rPr>
          <w:rFonts w:ascii="Arial" w:hAnsi="Arial"/>
          <w:sz w:val="20"/>
        </w:rPr>
        <w:t>’</w:t>
      </w:r>
      <w:r w:rsidR="00B17DD0" w:rsidRPr="00141643">
        <w:rPr>
          <w:rFonts w:ascii="Arial" w:hAnsi="Arial"/>
          <w:sz w:val="20"/>
        </w:rPr>
        <w:t xml:space="preserve">ONU </w:t>
      </w:r>
      <w:r w:rsidR="00DA5A4D" w:rsidRPr="00141643">
        <w:rPr>
          <w:rFonts w:ascii="Arial" w:hAnsi="Arial"/>
          <w:sz w:val="20"/>
        </w:rPr>
        <w:t xml:space="preserve">son point de vue </w:t>
      </w:r>
      <w:r w:rsidR="00B17DD0" w:rsidRPr="00141643">
        <w:rPr>
          <w:rFonts w:ascii="Arial" w:hAnsi="Arial"/>
          <w:sz w:val="20"/>
        </w:rPr>
        <w:t>sur les moyens d</w:t>
      </w:r>
      <w:r w:rsidR="002F7D24" w:rsidRPr="00141643">
        <w:rPr>
          <w:rFonts w:ascii="Arial" w:hAnsi="Arial"/>
          <w:sz w:val="20"/>
        </w:rPr>
        <w:t>’</w:t>
      </w:r>
      <w:r w:rsidR="00B17DD0" w:rsidRPr="00141643">
        <w:rPr>
          <w:rFonts w:ascii="Arial" w:hAnsi="Arial"/>
          <w:sz w:val="20"/>
        </w:rPr>
        <w:t xml:space="preserve">agir face aux enjeux et aux inquiétudes soulevés par les SALA, conformément à la résolution </w:t>
      </w:r>
      <w:r w:rsidR="002A7426" w:rsidRPr="009F4FE6">
        <w:rPr>
          <w:rFonts w:ascii="Arial" w:hAnsi="Arial"/>
          <w:sz w:val="20"/>
        </w:rPr>
        <w:t>78/241</w:t>
      </w:r>
      <w:r w:rsidR="002A7426" w:rsidRPr="00141643">
        <w:rPr>
          <w:rFonts w:ascii="Arial" w:hAnsi="Arial"/>
          <w:sz w:val="20"/>
        </w:rPr>
        <w:t xml:space="preserve"> </w:t>
      </w:r>
      <w:r w:rsidR="00B17DD0" w:rsidRPr="00141643">
        <w:rPr>
          <w:rFonts w:ascii="Arial" w:hAnsi="Arial"/>
          <w:sz w:val="20"/>
        </w:rPr>
        <w:t>adoptée par l</w:t>
      </w:r>
      <w:r w:rsidR="002F7D24" w:rsidRPr="00141643">
        <w:rPr>
          <w:rFonts w:ascii="Arial" w:hAnsi="Arial"/>
          <w:sz w:val="20"/>
        </w:rPr>
        <w:t>’</w:t>
      </w:r>
      <w:r w:rsidR="00B17DD0" w:rsidRPr="00141643">
        <w:rPr>
          <w:rFonts w:ascii="Arial" w:hAnsi="Arial"/>
          <w:sz w:val="20"/>
        </w:rPr>
        <w:t xml:space="preserve">Assemblée générale des Nations Unies en </w:t>
      </w:r>
      <w:r w:rsidR="002A7426" w:rsidRPr="00141643">
        <w:rPr>
          <w:rFonts w:ascii="Arial" w:hAnsi="Arial"/>
          <w:sz w:val="20"/>
        </w:rPr>
        <w:t xml:space="preserve">décembre </w:t>
      </w:r>
      <w:r w:rsidR="00B17DD0" w:rsidRPr="00141643">
        <w:rPr>
          <w:rFonts w:ascii="Arial" w:hAnsi="Arial"/>
          <w:sz w:val="20"/>
        </w:rPr>
        <w:t>2023</w:t>
      </w:r>
      <w:r w:rsidR="00465BBB" w:rsidRPr="00141643">
        <w:rPr>
          <w:rFonts w:ascii="Arial" w:hAnsi="Arial"/>
          <w:sz w:val="20"/>
        </w:rPr>
        <w:t> </w:t>
      </w:r>
      <w:r w:rsidR="00B17DD0" w:rsidRPr="00141643">
        <w:rPr>
          <w:rFonts w:ascii="Arial" w:hAnsi="Arial"/>
          <w:sz w:val="20"/>
        </w:rPr>
        <w:t>;</w:t>
      </w:r>
    </w:p>
    <w:p w14:paraId="6B57EBB6" w14:textId="77777777" w:rsidR="00631CAF" w:rsidRPr="00141643" w:rsidRDefault="00631CAF" w:rsidP="00222116">
      <w:pPr>
        <w:pStyle w:val="NormalWeb"/>
        <w:tabs>
          <w:tab w:val="left" w:pos="1134"/>
        </w:tabs>
        <w:spacing w:before="0" w:beforeAutospacing="0" w:after="0" w:afterAutospacing="0"/>
        <w:ind w:left="1134" w:hanging="567"/>
        <w:rPr>
          <w:rFonts w:ascii="Arial" w:hAnsi="Arial" w:cs="Arial"/>
          <w:i/>
          <w:iCs/>
          <w:sz w:val="20"/>
          <w:szCs w:val="20"/>
        </w:rPr>
      </w:pPr>
    </w:p>
    <w:p w14:paraId="78C1CB3D" w14:textId="27199380" w:rsidR="00631CAF" w:rsidRPr="00141643" w:rsidRDefault="006403E3" w:rsidP="00222116">
      <w:pPr>
        <w:pStyle w:val="Default"/>
        <w:tabs>
          <w:tab w:val="left" w:pos="1134"/>
        </w:tabs>
        <w:ind w:left="1134" w:hanging="567"/>
        <w:rPr>
          <w:rFonts w:eastAsia="Times New Roman"/>
          <w:sz w:val="20"/>
          <w:szCs w:val="20"/>
        </w:rPr>
      </w:pPr>
      <w:r w:rsidRPr="00141643">
        <w:rPr>
          <w:iCs/>
          <w:sz w:val="20"/>
        </w:rPr>
        <w:t>5.</w:t>
      </w:r>
      <w:r w:rsidRPr="00141643">
        <w:rPr>
          <w:iCs/>
          <w:sz w:val="20"/>
        </w:rPr>
        <w:tab/>
      </w:r>
      <w:r w:rsidR="00B17DD0" w:rsidRPr="00141643">
        <w:rPr>
          <w:i/>
          <w:sz w:val="20"/>
        </w:rPr>
        <w:t>recommande</w:t>
      </w:r>
      <w:r w:rsidR="00B17DD0" w:rsidRPr="00141643">
        <w:rPr>
          <w:sz w:val="20"/>
        </w:rPr>
        <w:t xml:space="preserve"> aux parlements et aux parlementaires de travailler avec les parties prenantes concernées, notamment les professionnels du secteur de la défense, la société civile et les milieux universitaires, afin de comprendre, d</w:t>
      </w:r>
      <w:r w:rsidR="002F7D24" w:rsidRPr="00141643">
        <w:rPr>
          <w:sz w:val="20"/>
        </w:rPr>
        <w:t>’</w:t>
      </w:r>
      <w:r w:rsidR="00B17DD0" w:rsidRPr="00141643">
        <w:rPr>
          <w:sz w:val="20"/>
        </w:rPr>
        <w:t>évaluer et de mettre en place de</w:t>
      </w:r>
      <w:r w:rsidR="005A4592" w:rsidRPr="00141643">
        <w:rPr>
          <w:sz w:val="20"/>
        </w:rPr>
        <w:t>s</w:t>
      </w:r>
      <w:r w:rsidR="00341F57" w:rsidRPr="00141643">
        <w:rPr>
          <w:sz w:val="20"/>
        </w:rPr>
        <w:t xml:space="preserve"> garanties</w:t>
      </w:r>
      <w:r w:rsidR="00B17DD0" w:rsidRPr="00141643">
        <w:rPr>
          <w:sz w:val="20"/>
        </w:rPr>
        <w:t xml:space="preserve"> concernant l</w:t>
      </w:r>
      <w:r w:rsidR="002F7D24" w:rsidRPr="00141643">
        <w:rPr>
          <w:sz w:val="20"/>
        </w:rPr>
        <w:t>’</w:t>
      </w:r>
      <w:r w:rsidR="00D93A2D" w:rsidRPr="00141643">
        <w:rPr>
          <w:sz w:val="20"/>
        </w:rPr>
        <w:t>IA</w:t>
      </w:r>
      <w:r w:rsidR="00B17DD0" w:rsidRPr="00141643">
        <w:rPr>
          <w:sz w:val="20"/>
        </w:rPr>
        <w:t xml:space="preserve"> et les systèmes d</w:t>
      </w:r>
      <w:r w:rsidR="002F7D24" w:rsidRPr="00141643">
        <w:rPr>
          <w:sz w:val="20"/>
        </w:rPr>
        <w:t>’</w:t>
      </w:r>
      <w:r w:rsidR="00B17DD0" w:rsidRPr="00141643">
        <w:rPr>
          <w:sz w:val="20"/>
        </w:rPr>
        <w:t>armes autonomes</w:t>
      </w:r>
      <w:r w:rsidR="00DF0AD5" w:rsidRPr="00141643">
        <w:rPr>
          <w:sz w:val="20"/>
        </w:rPr>
        <w:t> </w:t>
      </w:r>
      <w:r w:rsidR="00B17DD0" w:rsidRPr="00141643">
        <w:rPr>
          <w:sz w:val="20"/>
        </w:rPr>
        <w:t>;</w:t>
      </w:r>
    </w:p>
    <w:p w14:paraId="3D9EE709" w14:textId="77777777" w:rsidR="00631CAF" w:rsidRPr="00141643" w:rsidRDefault="00631CAF" w:rsidP="00222116">
      <w:pPr>
        <w:pStyle w:val="Paragraphedeliste"/>
        <w:tabs>
          <w:tab w:val="left" w:pos="1134"/>
        </w:tabs>
        <w:ind w:left="1134" w:hanging="567"/>
        <w:rPr>
          <w:rFonts w:eastAsia="Times New Roman"/>
          <w:sz w:val="20"/>
          <w:szCs w:val="20"/>
        </w:rPr>
      </w:pPr>
    </w:p>
    <w:p w14:paraId="1412121F" w14:textId="72CC9A70" w:rsidR="00631CAF" w:rsidRPr="00141643" w:rsidRDefault="006403E3" w:rsidP="00222116">
      <w:pPr>
        <w:pStyle w:val="Default"/>
        <w:tabs>
          <w:tab w:val="left" w:pos="1134"/>
        </w:tabs>
        <w:ind w:left="1134" w:hanging="567"/>
        <w:rPr>
          <w:rFonts w:eastAsia="Times New Roman"/>
          <w:sz w:val="20"/>
          <w:szCs w:val="20"/>
        </w:rPr>
      </w:pPr>
      <w:r w:rsidRPr="00141643">
        <w:rPr>
          <w:iCs/>
          <w:sz w:val="20"/>
        </w:rPr>
        <w:t>6.</w:t>
      </w:r>
      <w:r w:rsidRPr="00141643">
        <w:rPr>
          <w:iCs/>
          <w:sz w:val="20"/>
        </w:rPr>
        <w:tab/>
      </w:r>
      <w:r w:rsidR="00B17DD0" w:rsidRPr="00141643">
        <w:rPr>
          <w:i/>
          <w:sz w:val="20"/>
        </w:rPr>
        <w:t>encourage</w:t>
      </w:r>
      <w:r w:rsidR="00B17DD0" w:rsidRPr="00141643">
        <w:rPr>
          <w:sz w:val="20"/>
        </w:rPr>
        <w:t xml:space="preserve"> les parlements à réévaluer régulièrement le rôle des technologies de surveillance de masse dans la société, afin d</w:t>
      </w:r>
      <w:r w:rsidR="002F7D24" w:rsidRPr="00141643">
        <w:rPr>
          <w:sz w:val="20"/>
        </w:rPr>
        <w:t>’</w:t>
      </w:r>
      <w:r w:rsidR="00B17DD0" w:rsidRPr="00141643">
        <w:rPr>
          <w:sz w:val="20"/>
        </w:rPr>
        <w:t>éviter que ces technologies n</w:t>
      </w:r>
      <w:r w:rsidR="002F7D24" w:rsidRPr="00141643">
        <w:rPr>
          <w:sz w:val="20"/>
        </w:rPr>
        <w:t>’</w:t>
      </w:r>
      <w:r w:rsidR="00B17DD0" w:rsidRPr="00141643">
        <w:rPr>
          <w:sz w:val="20"/>
        </w:rPr>
        <w:t>exercent une pression unilatérale sur l</w:t>
      </w:r>
      <w:r w:rsidR="002F7D24" w:rsidRPr="00141643">
        <w:rPr>
          <w:sz w:val="20"/>
        </w:rPr>
        <w:t>’</w:t>
      </w:r>
      <w:r w:rsidR="00B17DD0" w:rsidRPr="00141643">
        <w:rPr>
          <w:sz w:val="20"/>
        </w:rPr>
        <w:t>ensemble des citoyens et n</w:t>
      </w:r>
      <w:r w:rsidR="002F7D24" w:rsidRPr="00141643">
        <w:rPr>
          <w:sz w:val="20"/>
        </w:rPr>
        <w:t>’</w:t>
      </w:r>
      <w:r w:rsidR="00B17DD0" w:rsidRPr="00141643">
        <w:rPr>
          <w:sz w:val="20"/>
        </w:rPr>
        <w:t>accordent des pouvoirs disproportionnés aux parties chargées de la surveillance lorsqu</w:t>
      </w:r>
      <w:r w:rsidR="002F7D24" w:rsidRPr="00141643">
        <w:rPr>
          <w:sz w:val="20"/>
        </w:rPr>
        <w:t>’</w:t>
      </w:r>
      <w:r w:rsidR="00B17DD0" w:rsidRPr="00141643">
        <w:rPr>
          <w:sz w:val="20"/>
        </w:rPr>
        <w:t>elles opèrent sans contrôle adéquat, et afin d</w:t>
      </w:r>
      <w:r w:rsidR="002F7D24" w:rsidRPr="00141643">
        <w:rPr>
          <w:sz w:val="20"/>
        </w:rPr>
        <w:t>’</w:t>
      </w:r>
      <w:r w:rsidR="00B17DD0" w:rsidRPr="00141643">
        <w:rPr>
          <w:sz w:val="20"/>
        </w:rPr>
        <w:t>améliorer le matériel et les algorithmes de reconnaissance faciale qui contribuent directement au déploiement rapide des SALA</w:t>
      </w:r>
      <w:r w:rsidR="00DC30AD" w:rsidRPr="00141643">
        <w:rPr>
          <w:sz w:val="20"/>
        </w:rPr>
        <w:t> </w:t>
      </w:r>
      <w:r w:rsidR="00B17DD0" w:rsidRPr="00141643">
        <w:rPr>
          <w:sz w:val="20"/>
        </w:rPr>
        <w:t>;</w:t>
      </w:r>
    </w:p>
    <w:p w14:paraId="144DFE8A" w14:textId="77777777" w:rsidR="00631CAF" w:rsidRPr="00141643" w:rsidRDefault="00631CAF" w:rsidP="00222116">
      <w:pPr>
        <w:pStyle w:val="Default"/>
        <w:tabs>
          <w:tab w:val="left" w:pos="1134"/>
        </w:tabs>
        <w:ind w:left="1134" w:hanging="567"/>
        <w:rPr>
          <w:rFonts w:eastAsia="Times New Roman"/>
          <w:i/>
          <w:iCs/>
          <w:sz w:val="20"/>
          <w:szCs w:val="20"/>
        </w:rPr>
      </w:pPr>
    </w:p>
    <w:p w14:paraId="0F2AAE5B" w14:textId="6706BB9A" w:rsidR="00631CAF" w:rsidRPr="00141643" w:rsidRDefault="006403E3" w:rsidP="00222116">
      <w:pPr>
        <w:pStyle w:val="Default"/>
        <w:tabs>
          <w:tab w:val="left" w:pos="1134"/>
        </w:tabs>
        <w:ind w:left="1134" w:hanging="567"/>
        <w:rPr>
          <w:rFonts w:eastAsia="Times New Roman"/>
          <w:sz w:val="20"/>
          <w:szCs w:val="20"/>
        </w:rPr>
      </w:pPr>
      <w:r w:rsidRPr="00141643">
        <w:rPr>
          <w:iCs/>
          <w:sz w:val="20"/>
        </w:rPr>
        <w:lastRenderedPageBreak/>
        <w:t>7.</w:t>
      </w:r>
      <w:r w:rsidRPr="00141643">
        <w:rPr>
          <w:iCs/>
          <w:sz w:val="20"/>
        </w:rPr>
        <w:tab/>
      </w:r>
      <w:r w:rsidR="00B17DD0" w:rsidRPr="00141643">
        <w:rPr>
          <w:i/>
          <w:sz w:val="20"/>
        </w:rPr>
        <w:t xml:space="preserve">exhorte </w:t>
      </w:r>
      <w:r w:rsidR="00B17DD0" w:rsidRPr="00141643">
        <w:rPr>
          <w:sz w:val="20"/>
        </w:rPr>
        <w:t>les parlements et les parlementaires à jouer un rôle déterminant en demandant des comptes à leur gouvernement au sujet des SALA, afin de garantir la bonne gouvernance de ces armes</w:t>
      </w:r>
      <w:r w:rsidR="00482872" w:rsidRPr="00141643">
        <w:rPr>
          <w:sz w:val="20"/>
        </w:rPr>
        <w:t>, notamment en ce qui concerne l’impératif de contrôle humain,</w:t>
      </w:r>
      <w:r w:rsidR="00B17DD0" w:rsidRPr="00141643">
        <w:rPr>
          <w:sz w:val="20"/>
        </w:rPr>
        <w:t xml:space="preserve"> ainsi que la transparence en ce qui concerne leur conception, leur développement, leur fonctionnement, leur réglementation et leur contrôle, et de susciter des actions concrètes de la </w:t>
      </w:r>
      <w:r w:rsidR="006242FF" w:rsidRPr="00141643">
        <w:rPr>
          <w:sz w:val="20"/>
        </w:rPr>
        <w:t xml:space="preserve">part </w:t>
      </w:r>
      <w:r w:rsidR="00B17DD0" w:rsidRPr="00141643">
        <w:rPr>
          <w:sz w:val="20"/>
        </w:rPr>
        <w:t>de l</w:t>
      </w:r>
      <w:r w:rsidR="002F7D24" w:rsidRPr="00141643">
        <w:rPr>
          <w:sz w:val="20"/>
        </w:rPr>
        <w:t>’</w:t>
      </w:r>
      <w:r w:rsidR="00B17DD0" w:rsidRPr="00141643">
        <w:rPr>
          <w:sz w:val="20"/>
        </w:rPr>
        <w:t>exécutif et, plus largement, de la société</w:t>
      </w:r>
      <w:r w:rsidR="002B2F1E" w:rsidRPr="00141643">
        <w:rPr>
          <w:sz w:val="20"/>
        </w:rPr>
        <w:t> </w:t>
      </w:r>
      <w:r w:rsidR="00B17DD0" w:rsidRPr="00141643">
        <w:rPr>
          <w:sz w:val="20"/>
        </w:rPr>
        <w:t>;</w:t>
      </w:r>
    </w:p>
    <w:p w14:paraId="736F91B4" w14:textId="77777777" w:rsidR="00631CAF" w:rsidRPr="00141643" w:rsidRDefault="00631CAF" w:rsidP="00222116">
      <w:pPr>
        <w:tabs>
          <w:tab w:val="left" w:pos="1134"/>
        </w:tabs>
        <w:spacing w:line="240" w:lineRule="auto"/>
        <w:ind w:left="1134" w:hanging="567"/>
        <w:rPr>
          <w:rFonts w:eastAsia="Times New Roman"/>
          <w:i/>
          <w:iCs/>
          <w:sz w:val="20"/>
          <w:szCs w:val="20"/>
        </w:rPr>
      </w:pPr>
    </w:p>
    <w:p w14:paraId="1A358C85" w14:textId="768263B4" w:rsidR="00631CAF" w:rsidRPr="00141643" w:rsidRDefault="006403E3" w:rsidP="00222116">
      <w:pPr>
        <w:pStyle w:val="NormalWeb"/>
        <w:tabs>
          <w:tab w:val="left" w:pos="1134"/>
        </w:tabs>
        <w:spacing w:before="0" w:beforeAutospacing="0" w:after="0" w:afterAutospacing="0"/>
        <w:ind w:left="1134" w:hanging="567"/>
        <w:rPr>
          <w:rFonts w:ascii="Arial" w:hAnsi="Arial" w:cs="Arial"/>
          <w:sz w:val="20"/>
          <w:szCs w:val="20"/>
        </w:rPr>
      </w:pPr>
      <w:r w:rsidRPr="00141643">
        <w:rPr>
          <w:rFonts w:ascii="Arial" w:hAnsi="Arial"/>
          <w:iCs/>
          <w:sz w:val="20"/>
        </w:rPr>
        <w:t>8.</w:t>
      </w:r>
      <w:r w:rsidRPr="00141643">
        <w:rPr>
          <w:rFonts w:ascii="Arial" w:hAnsi="Arial"/>
          <w:iCs/>
          <w:sz w:val="20"/>
        </w:rPr>
        <w:tab/>
      </w:r>
      <w:r w:rsidR="00B17DD0" w:rsidRPr="00141643">
        <w:rPr>
          <w:rFonts w:ascii="Arial" w:hAnsi="Arial"/>
          <w:i/>
          <w:sz w:val="20"/>
        </w:rPr>
        <w:t>invite</w:t>
      </w:r>
      <w:r w:rsidR="00B17DD0" w:rsidRPr="00141643">
        <w:rPr>
          <w:rFonts w:ascii="Arial" w:hAnsi="Arial"/>
          <w:sz w:val="20"/>
        </w:rPr>
        <w:t xml:space="preserve"> les parlements à exhorter leur gouvernement à établir des normes universellement contraignantes pour les fabricants, les exportateurs et les importateurs afin de garantir que les algorithmes préprogrammés utilisés dans les systèmes d</w:t>
      </w:r>
      <w:r w:rsidR="002F7D24" w:rsidRPr="00141643">
        <w:rPr>
          <w:rFonts w:ascii="Arial" w:hAnsi="Arial"/>
          <w:sz w:val="20"/>
        </w:rPr>
        <w:t>’</w:t>
      </w:r>
      <w:r w:rsidR="00B17DD0" w:rsidRPr="00141643">
        <w:rPr>
          <w:rFonts w:ascii="Arial" w:hAnsi="Arial"/>
          <w:sz w:val="20"/>
        </w:rPr>
        <w:t xml:space="preserve">armes autonomes ne </w:t>
      </w:r>
      <w:r w:rsidR="00341F57" w:rsidRPr="00141643">
        <w:rPr>
          <w:rFonts w:ascii="Arial" w:hAnsi="Arial"/>
          <w:sz w:val="20"/>
        </w:rPr>
        <w:t>favoris</w:t>
      </w:r>
      <w:r w:rsidR="00B17DD0" w:rsidRPr="00141643">
        <w:rPr>
          <w:rFonts w:ascii="Arial" w:hAnsi="Arial"/>
          <w:sz w:val="20"/>
        </w:rPr>
        <w:t>ent ou n</w:t>
      </w:r>
      <w:r w:rsidR="002F7D24" w:rsidRPr="00141643">
        <w:rPr>
          <w:rFonts w:ascii="Arial" w:hAnsi="Arial"/>
          <w:sz w:val="20"/>
        </w:rPr>
        <w:t>’</w:t>
      </w:r>
      <w:r w:rsidR="00B17DD0" w:rsidRPr="00141643">
        <w:rPr>
          <w:rFonts w:ascii="Arial" w:hAnsi="Arial"/>
          <w:sz w:val="20"/>
        </w:rPr>
        <w:t>exacerbent pas les discriminations</w:t>
      </w:r>
      <w:r w:rsidR="00CA6911" w:rsidRPr="00141643">
        <w:rPr>
          <w:rFonts w:ascii="Arial" w:hAnsi="Arial"/>
          <w:sz w:val="20"/>
        </w:rPr>
        <w:t> </w:t>
      </w:r>
      <w:r w:rsidR="00B17DD0" w:rsidRPr="00141643">
        <w:rPr>
          <w:rFonts w:ascii="Arial" w:hAnsi="Arial"/>
          <w:sz w:val="20"/>
        </w:rPr>
        <w:t>;</w:t>
      </w:r>
    </w:p>
    <w:p w14:paraId="135C93F9" w14:textId="77777777" w:rsidR="00631CAF" w:rsidRPr="00141643" w:rsidRDefault="00631CAF" w:rsidP="00222116">
      <w:pPr>
        <w:pStyle w:val="Paragraphedeliste"/>
        <w:tabs>
          <w:tab w:val="left" w:pos="1134"/>
        </w:tabs>
        <w:spacing w:line="240" w:lineRule="auto"/>
        <w:ind w:left="1134" w:hanging="567"/>
        <w:rPr>
          <w:sz w:val="20"/>
          <w:szCs w:val="20"/>
        </w:rPr>
      </w:pPr>
    </w:p>
    <w:p w14:paraId="61A58023" w14:textId="1D37B0D6" w:rsidR="00631CAF" w:rsidRPr="00141643" w:rsidRDefault="006403E3" w:rsidP="00222116">
      <w:pPr>
        <w:pStyle w:val="NormalWeb"/>
        <w:tabs>
          <w:tab w:val="left" w:pos="1134"/>
        </w:tabs>
        <w:spacing w:before="0" w:beforeAutospacing="0" w:after="0" w:afterAutospacing="0"/>
        <w:ind w:left="1134" w:hanging="567"/>
        <w:rPr>
          <w:rFonts w:ascii="Arial" w:hAnsi="Arial" w:cs="Arial"/>
          <w:sz w:val="20"/>
          <w:szCs w:val="20"/>
        </w:rPr>
      </w:pPr>
      <w:r w:rsidRPr="00141643">
        <w:rPr>
          <w:rFonts w:ascii="Arial" w:hAnsi="Arial"/>
          <w:iCs/>
          <w:sz w:val="20"/>
        </w:rPr>
        <w:t>9.</w:t>
      </w:r>
      <w:r w:rsidRPr="00141643">
        <w:rPr>
          <w:rFonts w:ascii="Arial" w:hAnsi="Arial"/>
          <w:iCs/>
          <w:sz w:val="20"/>
        </w:rPr>
        <w:tab/>
      </w:r>
      <w:r w:rsidR="00B17DD0" w:rsidRPr="00141643">
        <w:rPr>
          <w:rFonts w:ascii="Arial" w:hAnsi="Arial"/>
          <w:i/>
          <w:sz w:val="20"/>
        </w:rPr>
        <w:t xml:space="preserve">exhorte </w:t>
      </w:r>
      <w:r w:rsidR="00B17DD0" w:rsidRPr="00141643">
        <w:rPr>
          <w:rFonts w:ascii="Arial" w:hAnsi="Arial"/>
          <w:sz w:val="20"/>
        </w:rPr>
        <w:t>les parlements à demander à leur gouvernement de définir clairement ses responsabilités ainsi que celles du secteur privé et de la société civile en ce qui concerne les systèmes d</w:t>
      </w:r>
      <w:r w:rsidR="002F7D24" w:rsidRPr="00141643">
        <w:rPr>
          <w:rFonts w:ascii="Arial" w:hAnsi="Arial"/>
          <w:sz w:val="20"/>
        </w:rPr>
        <w:t>’</w:t>
      </w:r>
      <w:r w:rsidR="00B17DD0" w:rsidRPr="00141643">
        <w:rPr>
          <w:rFonts w:ascii="Arial" w:hAnsi="Arial"/>
          <w:sz w:val="20"/>
        </w:rPr>
        <w:t>armes autonomes, et à adopter une législation garantissant que ces systèmes ne tombent pas entre les mains de criminels ou de groupes non étatiques qui opèrent en dehors de la loi</w:t>
      </w:r>
      <w:r w:rsidR="00CA6911" w:rsidRPr="00141643">
        <w:rPr>
          <w:rFonts w:ascii="Arial" w:hAnsi="Arial"/>
          <w:sz w:val="20"/>
        </w:rPr>
        <w:t> </w:t>
      </w:r>
      <w:r w:rsidR="00B17DD0" w:rsidRPr="00141643">
        <w:rPr>
          <w:rFonts w:ascii="Arial" w:hAnsi="Arial"/>
          <w:sz w:val="20"/>
        </w:rPr>
        <w:t>;</w:t>
      </w:r>
    </w:p>
    <w:p w14:paraId="25319FE6" w14:textId="77777777" w:rsidR="00631CAF" w:rsidRPr="00141643" w:rsidRDefault="00631CAF" w:rsidP="00222116">
      <w:pPr>
        <w:tabs>
          <w:tab w:val="left" w:pos="1134"/>
        </w:tabs>
        <w:spacing w:line="240" w:lineRule="auto"/>
        <w:ind w:left="1134" w:hanging="567"/>
        <w:rPr>
          <w:rFonts w:eastAsia="Times New Roman"/>
          <w:i/>
          <w:iCs/>
          <w:sz w:val="20"/>
          <w:szCs w:val="20"/>
        </w:rPr>
      </w:pPr>
    </w:p>
    <w:p w14:paraId="7BD00495" w14:textId="79A7E73F" w:rsidR="00631CAF" w:rsidRPr="00141643" w:rsidRDefault="006403E3" w:rsidP="00222116">
      <w:pPr>
        <w:shd w:val="clear" w:color="auto" w:fill="FFFFFF"/>
        <w:tabs>
          <w:tab w:val="left" w:pos="1134"/>
        </w:tabs>
        <w:spacing w:line="240" w:lineRule="auto"/>
        <w:ind w:left="1134" w:hanging="567"/>
        <w:rPr>
          <w:sz w:val="20"/>
          <w:szCs w:val="20"/>
        </w:rPr>
      </w:pPr>
      <w:r w:rsidRPr="00141643">
        <w:rPr>
          <w:iCs/>
          <w:sz w:val="20"/>
        </w:rPr>
        <w:t>10.</w:t>
      </w:r>
      <w:r w:rsidRPr="00141643">
        <w:rPr>
          <w:iCs/>
          <w:sz w:val="20"/>
        </w:rPr>
        <w:tab/>
      </w:r>
      <w:r w:rsidR="00B17DD0" w:rsidRPr="00141643">
        <w:rPr>
          <w:i/>
          <w:sz w:val="20"/>
        </w:rPr>
        <w:t xml:space="preserve">encourage </w:t>
      </w:r>
      <w:r w:rsidR="00B17DD0" w:rsidRPr="00141643">
        <w:rPr>
          <w:sz w:val="20"/>
        </w:rPr>
        <w:t>les parlements et les parlementaires à favoriser l</w:t>
      </w:r>
      <w:r w:rsidR="002F7D24" w:rsidRPr="00141643">
        <w:rPr>
          <w:sz w:val="20"/>
        </w:rPr>
        <w:t>’</w:t>
      </w:r>
      <w:r w:rsidR="00B17DD0" w:rsidRPr="00141643">
        <w:rPr>
          <w:sz w:val="20"/>
        </w:rPr>
        <w:t xml:space="preserve">échange des bonnes pratiques pertinentes entre les </w:t>
      </w:r>
      <w:r w:rsidR="00516565" w:rsidRPr="00141643">
        <w:rPr>
          <w:sz w:val="20"/>
        </w:rPr>
        <w:t>États</w:t>
      </w:r>
      <w:r w:rsidR="00B17DD0" w:rsidRPr="00141643">
        <w:rPr>
          <w:sz w:val="20"/>
        </w:rPr>
        <w:t xml:space="preserve">, en tenant dûment compte des </w:t>
      </w:r>
      <w:r w:rsidR="002F7D24" w:rsidRPr="00141643">
        <w:rPr>
          <w:sz w:val="20"/>
        </w:rPr>
        <w:t>règles</w:t>
      </w:r>
      <w:r w:rsidR="00B17DD0" w:rsidRPr="00141643">
        <w:rPr>
          <w:sz w:val="20"/>
        </w:rPr>
        <w:t xml:space="preserve"> relatives à la sécurité nationale et des restrictions commerciales applicables aux informations privées</w:t>
      </w:r>
      <w:r w:rsidR="00CA6911" w:rsidRPr="00141643">
        <w:rPr>
          <w:sz w:val="20"/>
        </w:rPr>
        <w:t> </w:t>
      </w:r>
      <w:r w:rsidR="00B17DD0" w:rsidRPr="00141643">
        <w:rPr>
          <w:sz w:val="20"/>
        </w:rPr>
        <w:t>;</w:t>
      </w:r>
    </w:p>
    <w:p w14:paraId="764CB3A6" w14:textId="77777777" w:rsidR="00631CAF" w:rsidRPr="00141643" w:rsidRDefault="00631CAF" w:rsidP="00222116">
      <w:pPr>
        <w:shd w:val="clear" w:color="auto" w:fill="FFFFFF"/>
        <w:tabs>
          <w:tab w:val="left" w:pos="1134"/>
        </w:tabs>
        <w:spacing w:line="240" w:lineRule="auto"/>
        <w:ind w:left="1134" w:hanging="567"/>
        <w:rPr>
          <w:sz w:val="20"/>
          <w:szCs w:val="20"/>
        </w:rPr>
      </w:pPr>
    </w:p>
    <w:p w14:paraId="7794DA51" w14:textId="6A499DE4" w:rsidR="00631CAF" w:rsidRPr="00141643" w:rsidRDefault="006403E3" w:rsidP="00222116">
      <w:pPr>
        <w:pStyle w:val="NormalWeb"/>
        <w:shd w:val="clear" w:color="auto" w:fill="FFFFFF"/>
        <w:tabs>
          <w:tab w:val="left" w:pos="1134"/>
        </w:tabs>
        <w:spacing w:before="0" w:beforeAutospacing="0" w:after="0" w:afterAutospacing="0"/>
        <w:ind w:left="1134" w:hanging="567"/>
        <w:rPr>
          <w:rFonts w:ascii="Arial" w:hAnsi="Arial" w:cs="Arial"/>
          <w:i/>
          <w:iCs/>
          <w:sz w:val="20"/>
          <w:szCs w:val="20"/>
        </w:rPr>
      </w:pPr>
      <w:r w:rsidRPr="00141643">
        <w:rPr>
          <w:rFonts w:ascii="Arial" w:hAnsi="Arial" w:cs="Arial"/>
          <w:iCs/>
          <w:sz w:val="20"/>
        </w:rPr>
        <w:t>11.</w:t>
      </w:r>
      <w:r w:rsidRPr="00141643">
        <w:rPr>
          <w:rFonts w:ascii="Arial" w:hAnsi="Arial" w:cs="Arial"/>
          <w:iCs/>
          <w:sz w:val="20"/>
        </w:rPr>
        <w:tab/>
      </w:r>
      <w:r w:rsidR="00B17DD0" w:rsidRPr="00141643">
        <w:rPr>
          <w:rFonts w:ascii="Arial" w:hAnsi="Arial" w:cs="Arial"/>
          <w:i/>
          <w:sz w:val="20"/>
        </w:rPr>
        <w:t xml:space="preserve">recommande </w:t>
      </w:r>
      <w:r w:rsidR="00B17DD0" w:rsidRPr="00141643">
        <w:rPr>
          <w:rFonts w:ascii="Arial" w:hAnsi="Arial" w:cs="Arial"/>
          <w:sz w:val="20"/>
        </w:rPr>
        <w:t>aux parlements et aux parlementaires d</w:t>
      </w:r>
      <w:r w:rsidR="002F7D24" w:rsidRPr="00141643">
        <w:rPr>
          <w:rFonts w:ascii="Arial" w:hAnsi="Arial" w:cs="Arial"/>
          <w:sz w:val="20"/>
        </w:rPr>
        <w:t>’</w:t>
      </w:r>
      <w:r w:rsidR="00B17DD0" w:rsidRPr="00141643">
        <w:rPr>
          <w:rFonts w:ascii="Arial" w:hAnsi="Arial" w:cs="Arial"/>
          <w:sz w:val="20"/>
        </w:rPr>
        <w:t>allouer des budgets pour financer des plans, des programmes, des projets et des mesures visant à sensibiliser à la nécessité de prévenir, de réglementer, de surveiller et de faire respecter les droits de l</w:t>
      </w:r>
      <w:r w:rsidR="002F7D24" w:rsidRPr="00141643">
        <w:rPr>
          <w:rFonts w:ascii="Arial" w:hAnsi="Arial" w:cs="Arial"/>
          <w:sz w:val="20"/>
        </w:rPr>
        <w:t>’</w:t>
      </w:r>
      <w:r w:rsidR="00B17DD0" w:rsidRPr="00141643">
        <w:rPr>
          <w:rFonts w:ascii="Arial" w:hAnsi="Arial" w:cs="Arial"/>
          <w:sz w:val="20"/>
        </w:rPr>
        <w:t xml:space="preserve">homme ainsi que les </w:t>
      </w:r>
      <w:r w:rsidR="00341F57" w:rsidRPr="00141643">
        <w:rPr>
          <w:rFonts w:ascii="Arial" w:hAnsi="Arial" w:cs="Arial"/>
          <w:sz w:val="20"/>
        </w:rPr>
        <w:t>garanties</w:t>
      </w:r>
      <w:r w:rsidR="00B17DD0" w:rsidRPr="00141643">
        <w:rPr>
          <w:rFonts w:ascii="Arial" w:hAnsi="Arial" w:cs="Arial"/>
          <w:sz w:val="20"/>
        </w:rPr>
        <w:t xml:space="preserve"> lié</w:t>
      </w:r>
      <w:r w:rsidR="00341F57" w:rsidRPr="00141643">
        <w:rPr>
          <w:rFonts w:ascii="Arial" w:hAnsi="Arial" w:cs="Arial"/>
          <w:sz w:val="20"/>
        </w:rPr>
        <w:t>e</w:t>
      </w:r>
      <w:r w:rsidR="00B17DD0" w:rsidRPr="00141643">
        <w:rPr>
          <w:rFonts w:ascii="Arial" w:hAnsi="Arial" w:cs="Arial"/>
          <w:sz w:val="20"/>
        </w:rPr>
        <w:t>s aux SALA</w:t>
      </w:r>
      <w:r w:rsidR="00EE33B7" w:rsidRPr="00141643">
        <w:rPr>
          <w:rFonts w:ascii="Arial" w:hAnsi="Arial" w:cs="Arial"/>
          <w:sz w:val="20"/>
        </w:rPr>
        <w:t> </w:t>
      </w:r>
      <w:r w:rsidR="00B17DD0" w:rsidRPr="00141643">
        <w:rPr>
          <w:rFonts w:ascii="Arial" w:hAnsi="Arial" w:cs="Arial"/>
          <w:sz w:val="20"/>
        </w:rPr>
        <w:t>;</w:t>
      </w:r>
    </w:p>
    <w:p w14:paraId="24884EBD" w14:textId="77777777" w:rsidR="00631CAF" w:rsidRPr="00141643" w:rsidRDefault="00631CAF" w:rsidP="00222116">
      <w:pPr>
        <w:pStyle w:val="Paragraphedeliste"/>
        <w:shd w:val="clear" w:color="auto" w:fill="FFFFFF"/>
        <w:tabs>
          <w:tab w:val="left" w:pos="1134"/>
        </w:tabs>
        <w:spacing w:line="240" w:lineRule="auto"/>
        <w:ind w:left="1134" w:hanging="567"/>
        <w:rPr>
          <w:i/>
          <w:iCs/>
          <w:sz w:val="20"/>
          <w:szCs w:val="20"/>
        </w:rPr>
      </w:pPr>
    </w:p>
    <w:p w14:paraId="1C415F23" w14:textId="1C38008D" w:rsidR="00631CAF" w:rsidRPr="00141643" w:rsidRDefault="006403E3" w:rsidP="00222116">
      <w:pPr>
        <w:tabs>
          <w:tab w:val="left" w:pos="1134"/>
        </w:tabs>
        <w:spacing w:line="240" w:lineRule="auto"/>
        <w:ind w:left="1134" w:hanging="567"/>
        <w:rPr>
          <w:sz w:val="20"/>
          <w:szCs w:val="20"/>
        </w:rPr>
      </w:pPr>
      <w:r w:rsidRPr="00141643">
        <w:rPr>
          <w:iCs/>
          <w:sz w:val="20"/>
        </w:rPr>
        <w:t>12.</w:t>
      </w:r>
      <w:r w:rsidRPr="00141643">
        <w:rPr>
          <w:iCs/>
          <w:sz w:val="20"/>
        </w:rPr>
        <w:tab/>
      </w:r>
      <w:r w:rsidR="00B17DD0" w:rsidRPr="00141643">
        <w:rPr>
          <w:i/>
          <w:sz w:val="20"/>
        </w:rPr>
        <w:t xml:space="preserve">réclame </w:t>
      </w:r>
      <w:r w:rsidR="00B17DD0" w:rsidRPr="00141643">
        <w:rPr>
          <w:sz w:val="20"/>
        </w:rPr>
        <w:t>l</w:t>
      </w:r>
      <w:r w:rsidR="002F7D24" w:rsidRPr="00141643">
        <w:rPr>
          <w:sz w:val="20"/>
        </w:rPr>
        <w:t>’</w:t>
      </w:r>
      <w:r w:rsidR="00B17DD0" w:rsidRPr="00141643">
        <w:rPr>
          <w:sz w:val="20"/>
        </w:rPr>
        <w:t>adoption de mesures visant à garantir une perspective de genre et multidimensionnelle, fondée sur la résolution 1325 du Conseil de sécurité de l</w:t>
      </w:r>
      <w:r w:rsidR="002F7D24" w:rsidRPr="00141643">
        <w:rPr>
          <w:sz w:val="20"/>
        </w:rPr>
        <w:t>’</w:t>
      </w:r>
      <w:r w:rsidR="00B17DD0" w:rsidRPr="00141643">
        <w:rPr>
          <w:sz w:val="20"/>
        </w:rPr>
        <w:t>ONU, lors des discussions sur les SALA et les stratégies militaires utilisant l</w:t>
      </w:r>
      <w:r w:rsidR="002F7D24" w:rsidRPr="00141643">
        <w:rPr>
          <w:sz w:val="20"/>
        </w:rPr>
        <w:t>’</w:t>
      </w:r>
      <w:r w:rsidR="004528FE" w:rsidRPr="00141643">
        <w:rPr>
          <w:sz w:val="20"/>
        </w:rPr>
        <w:t>IA</w:t>
      </w:r>
      <w:r w:rsidR="00B17DD0" w:rsidRPr="00141643">
        <w:rPr>
          <w:sz w:val="20"/>
        </w:rPr>
        <w:t>, ainsi qu</w:t>
      </w:r>
      <w:r w:rsidR="002F7D24" w:rsidRPr="00141643">
        <w:rPr>
          <w:sz w:val="20"/>
        </w:rPr>
        <w:t>’</w:t>
      </w:r>
      <w:r w:rsidR="00B17DD0" w:rsidRPr="00141643">
        <w:rPr>
          <w:sz w:val="20"/>
        </w:rPr>
        <w:t>à mettre en évidence et à corriger l</w:t>
      </w:r>
      <w:r w:rsidR="002F7D24" w:rsidRPr="00141643">
        <w:rPr>
          <w:sz w:val="20"/>
        </w:rPr>
        <w:t>’</w:t>
      </w:r>
      <w:r w:rsidR="00B17DD0" w:rsidRPr="00141643">
        <w:rPr>
          <w:sz w:val="20"/>
        </w:rPr>
        <w:t>impact disproportionné que les SALA peuvent avoir sur certains groupes spécifiques, notamment les femmes et les personnes historiquement exclues et marginalisées</w:t>
      </w:r>
      <w:r w:rsidR="00661E09" w:rsidRPr="00141643">
        <w:rPr>
          <w:sz w:val="20"/>
        </w:rPr>
        <w:t> </w:t>
      </w:r>
      <w:r w:rsidR="00B17DD0" w:rsidRPr="00141643">
        <w:rPr>
          <w:sz w:val="20"/>
        </w:rPr>
        <w:t>;</w:t>
      </w:r>
    </w:p>
    <w:p w14:paraId="12EB7737" w14:textId="77777777" w:rsidR="00631CAF" w:rsidRPr="00141643" w:rsidRDefault="00631CAF" w:rsidP="00222116">
      <w:pPr>
        <w:tabs>
          <w:tab w:val="left" w:pos="1134"/>
        </w:tabs>
        <w:spacing w:line="240" w:lineRule="auto"/>
        <w:ind w:left="1134" w:hanging="567"/>
        <w:rPr>
          <w:sz w:val="20"/>
          <w:szCs w:val="20"/>
        </w:rPr>
      </w:pPr>
    </w:p>
    <w:p w14:paraId="6E4946FA" w14:textId="7E8E911B" w:rsidR="00631CAF" w:rsidRPr="00141643" w:rsidRDefault="006403E3" w:rsidP="00222116">
      <w:pPr>
        <w:pStyle w:val="NormalWeb"/>
        <w:tabs>
          <w:tab w:val="left" w:pos="1134"/>
        </w:tabs>
        <w:spacing w:before="0" w:beforeAutospacing="0" w:after="0" w:afterAutospacing="0"/>
        <w:ind w:left="1134" w:hanging="567"/>
        <w:rPr>
          <w:rFonts w:ascii="Arial" w:hAnsi="Arial" w:cs="Arial"/>
          <w:sz w:val="20"/>
          <w:szCs w:val="20"/>
        </w:rPr>
      </w:pPr>
      <w:r w:rsidRPr="00141643">
        <w:rPr>
          <w:rFonts w:ascii="Arial" w:hAnsi="Arial"/>
          <w:iCs/>
          <w:sz w:val="20"/>
        </w:rPr>
        <w:t>13.</w:t>
      </w:r>
      <w:r w:rsidRPr="00141643">
        <w:rPr>
          <w:rFonts w:ascii="Arial" w:hAnsi="Arial"/>
          <w:iCs/>
          <w:sz w:val="20"/>
        </w:rPr>
        <w:tab/>
      </w:r>
      <w:r w:rsidR="00B17DD0" w:rsidRPr="00141643">
        <w:rPr>
          <w:rFonts w:ascii="Arial" w:hAnsi="Arial"/>
          <w:i/>
          <w:sz w:val="20"/>
        </w:rPr>
        <w:t xml:space="preserve">demande </w:t>
      </w:r>
      <w:r w:rsidR="00B17DD0" w:rsidRPr="00141643">
        <w:rPr>
          <w:rFonts w:ascii="Arial" w:hAnsi="Arial"/>
          <w:sz w:val="20"/>
        </w:rPr>
        <w:t xml:space="preserve">aux réseaux parlementaires concernés et aux </w:t>
      </w:r>
      <w:r w:rsidR="003262F3" w:rsidRPr="00141643">
        <w:rPr>
          <w:rFonts w:ascii="Arial" w:hAnsi="Arial"/>
          <w:sz w:val="20"/>
        </w:rPr>
        <w:t>O</w:t>
      </w:r>
      <w:r w:rsidR="00B17DD0" w:rsidRPr="00141643">
        <w:rPr>
          <w:rFonts w:ascii="Arial" w:hAnsi="Arial"/>
          <w:sz w:val="20"/>
        </w:rPr>
        <w:t>bservateurs permanents de l</w:t>
      </w:r>
      <w:r w:rsidR="002F7D24" w:rsidRPr="00141643">
        <w:rPr>
          <w:rFonts w:ascii="Arial" w:hAnsi="Arial"/>
          <w:sz w:val="20"/>
        </w:rPr>
        <w:t>’</w:t>
      </w:r>
      <w:r w:rsidR="00B17DD0" w:rsidRPr="00141643">
        <w:rPr>
          <w:rFonts w:ascii="Arial" w:hAnsi="Arial"/>
          <w:sz w:val="20"/>
        </w:rPr>
        <w:t>UIP d</w:t>
      </w:r>
      <w:r w:rsidR="002F7D24" w:rsidRPr="00141643">
        <w:rPr>
          <w:rFonts w:ascii="Arial" w:hAnsi="Arial"/>
          <w:sz w:val="20"/>
        </w:rPr>
        <w:t>’</w:t>
      </w:r>
      <w:r w:rsidR="00B17DD0" w:rsidRPr="00141643">
        <w:rPr>
          <w:rFonts w:ascii="Arial" w:hAnsi="Arial"/>
          <w:sz w:val="20"/>
        </w:rPr>
        <w:t>inscrire les SALA à l</w:t>
      </w:r>
      <w:r w:rsidR="002F7D24" w:rsidRPr="00141643">
        <w:rPr>
          <w:rFonts w:ascii="Arial" w:hAnsi="Arial"/>
          <w:sz w:val="20"/>
        </w:rPr>
        <w:t>’</w:t>
      </w:r>
      <w:r w:rsidR="00B17DD0" w:rsidRPr="00141643">
        <w:rPr>
          <w:rFonts w:ascii="Arial" w:hAnsi="Arial"/>
          <w:sz w:val="20"/>
        </w:rPr>
        <w:t>ordre du jour de leurs réunions et d</w:t>
      </w:r>
      <w:r w:rsidR="002F7D24" w:rsidRPr="00141643">
        <w:rPr>
          <w:rFonts w:ascii="Arial" w:hAnsi="Arial"/>
          <w:sz w:val="20"/>
        </w:rPr>
        <w:t>’</w:t>
      </w:r>
      <w:r w:rsidR="00B17DD0" w:rsidRPr="00141643">
        <w:rPr>
          <w:rFonts w:ascii="Arial" w:hAnsi="Arial"/>
          <w:sz w:val="20"/>
        </w:rPr>
        <w:t>informer l</w:t>
      </w:r>
      <w:r w:rsidR="002F7D24" w:rsidRPr="00141643">
        <w:rPr>
          <w:rFonts w:ascii="Arial" w:hAnsi="Arial"/>
          <w:sz w:val="20"/>
        </w:rPr>
        <w:t>’</w:t>
      </w:r>
      <w:r w:rsidR="00B17DD0" w:rsidRPr="00141643">
        <w:rPr>
          <w:rFonts w:ascii="Arial" w:hAnsi="Arial"/>
          <w:sz w:val="20"/>
        </w:rPr>
        <w:t>UIP de leurs travaux et de leurs conclusions sur la question</w:t>
      </w:r>
      <w:r w:rsidR="00661E09" w:rsidRPr="00141643">
        <w:rPr>
          <w:rFonts w:ascii="Arial" w:hAnsi="Arial"/>
          <w:sz w:val="20"/>
        </w:rPr>
        <w:t> </w:t>
      </w:r>
      <w:r w:rsidR="00B17DD0" w:rsidRPr="00141643">
        <w:rPr>
          <w:rFonts w:ascii="Arial" w:hAnsi="Arial"/>
          <w:sz w:val="20"/>
        </w:rPr>
        <w:t>;</w:t>
      </w:r>
    </w:p>
    <w:p w14:paraId="0C34E866" w14:textId="77777777" w:rsidR="00631CAF" w:rsidRPr="00141643" w:rsidRDefault="00631CAF" w:rsidP="00222116">
      <w:pPr>
        <w:pStyle w:val="NormalWeb"/>
        <w:tabs>
          <w:tab w:val="left" w:pos="1134"/>
        </w:tabs>
        <w:spacing w:before="0" w:beforeAutospacing="0" w:after="0" w:afterAutospacing="0"/>
        <w:ind w:left="1134" w:hanging="567"/>
        <w:rPr>
          <w:rFonts w:ascii="Arial" w:hAnsi="Arial" w:cs="Arial"/>
          <w:i/>
          <w:iCs/>
          <w:sz w:val="20"/>
          <w:szCs w:val="20"/>
        </w:rPr>
      </w:pPr>
    </w:p>
    <w:p w14:paraId="64C44308" w14:textId="23358A1C" w:rsidR="00631CAF" w:rsidRPr="00141643" w:rsidRDefault="006403E3" w:rsidP="00222116">
      <w:pPr>
        <w:pStyle w:val="NormalWeb"/>
        <w:tabs>
          <w:tab w:val="left" w:pos="1134"/>
        </w:tabs>
        <w:spacing w:before="0" w:beforeAutospacing="0" w:after="0" w:afterAutospacing="0"/>
        <w:ind w:left="1134" w:hanging="567"/>
        <w:rPr>
          <w:rFonts w:ascii="Arial" w:hAnsi="Arial" w:cs="Arial"/>
          <w:sz w:val="20"/>
          <w:szCs w:val="20"/>
        </w:rPr>
      </w:pPr>
      <w:r w:rsidRPr="00141643">
        <w:rPr>
          <w:rFonts w:ascii="Arial" w:hAnsi="Arial"/>
          <w:iCs/>
          <w:sz w:val="20"/>
        </w:rPr>
        <w:t>14.</w:t>
      </w:r>
      <w:r w:rsidRPr="00141643">
        <w:rPr>
          <w:rFonts w:ascii="Arial" w:hAnsi="Arial"/>
          <w:i/>
          <w:sz w:val="20"/>
        </w:rPr>
        <w:tab/>
      </w:r>
      <w:r w:rsidR="00B17DD0" w:rsidRPr="00141643">
        <w:rPr>
          <w:rFonts w:ascii="Arial" w:hAnsi="Arial"/>
          <w:i/>
          <w:sz w:val="20"/>
        </w:rPr>
        <w:t>invite</w:t>
      </w:r>
      <w:r w:rsidR="00B17DD0" w:rsidRPr="00141643">
        <w:rPr>
          <w:rFonts w:ascii="Arial" w:hAnsi="Arial"/>
          <w:sz w:val="20"/>
        </w:rPr>
        <w:t xml:space="preserve"> l</w:t>
      </w:r>
      <w:r w:rsidR="002F7D24" w:rsidRPr="00141643">
        <w:rPr>
          <w:rFonts w:ascii="Arial" w:hAnsi="Arial"/>
          <w:sz w:val="20"/>
        </w:rPr>
        <w:t>’</w:t>
      </w:r>
      <w:r w:rsidR="00B17DD0" w:rsidRPr="00141643">
        <w:rPr>
          <w:rFonts w:ascii="Arial" w:hAnsi="Arial"/>
          <w:sz w:val="20"/>
        </w:rPr>
        <w:t>UIP, par l</w:t>
      </w:r>
      <w:r w:rsidR="002F7D24" w:rsidRPr="00141643">
        <w:rPr>
          <w:rFonts w:ascii="Arial" w:hAnsi="Arial"/>
          <w:sz w:val="20"/>
        </w:rPr>
        <w:t>’</w:t>
      </w:r>
      <w:r w:rsidR="00B17DD0" w:rsidRPr="00141643">
        <w:rPr>
          <w:rFonts w:ascii="Arial" w:hAnsi="Arial"/>
          <w:sz w:val="20"/>
        </w:rPr>
        <w:t>intermédiaire de sa Commission permanente et de ses organes spécialisés compétents, à se tenir au fait de la question et à organiser lors de la 151</w:t>
      </w:r>
      <w:r w:rsidR="00B17DD0" w:rsidRPr="00141643">
        <w:rPr>
          <w:rFonts w:ascii="Arial" w:hAnsi="Arial"/>
          <w:sz w:val="20"/>
          <w:vertAlign w:val="superscript"/>
        </w:rPr>
        <w:t>e</w:t>
      </w:r>
      <w:r w:rsidR="00222116" w:rsidRPr="00141643">
        <w:rPr>
          <w:rFonts w:ascii="Arial" w:hAnsi="Arial"/>
          <w:sz w:val="20"/>
        </w:rPr>
        <w:t> </w:t>
      </w:r>
      <w:r w:rsidR="00B17DD0" w:rsidRPr="00141643">
        <w:rPr>
          <w:rFonts w:ascii="Arial" w:hAnsi="Arial"/>
          <w:sz w:val="20"/>
        </w:rPr>
        <w:t xml:space="preserve">Assemblée une réunion-débat avec les réseaux parlementaires concernés et les </w:t>
      </w:r>
      <w:r w:rsidR="003262F3" w:rsidRPr="00141643">
        <w:rPr>
          <w:rFonts w:ascii="Arial" w:hAnsi="Arial"/>
          <w:sz w:val="20"/>
        </w:rPr>
        <w:t>O</w:t>
      </w:r>
      <w:r w:rsidR="00B17DD0" w:rsidRPr="00141643">
        <w:rPr>
          <w:rFonts w:ascii="Arial" w:hAnsi="Arial"/>
          <w:sz w:val="20"/>
        </w:rPr>
        <w:t>bservateurs permanents de l</w:t>
      </w:r>
      <w:r w:rsidR="002F7D24" w:rsidRPr="00141643">
        <w:rPr>
          <w:rFonts w:ascii="Arial" w:hAnsi="Arial"/>
          <w:sz w:val="20"/>
        </w:rPr>
        <w:t>’</w:t>
      </w:r>
      <w:r w:rsidR="00B17DD0" w:rsidRPr="00141643">
        <w:rPr>
          <w:rFonts w:ascii="Arial" w:hAnsi="Arial"/>
          <w:sz w:val="20"/>
        </w:rPr>
        <w:t>UIP, afin de faire le point sur la situation avant l</w:t>
      </w:r>
      <w:r w:rsidR="002F7D24" w:rsidRPr="00141643">
        <w:rPr>
          <w:rFonts w:ascii="Arial" w:hAnsi="Arial"/>
          <w:sz w:val="20"/>
        </w:rPr>
        <w:t>’</w:t>
      </w:r>
      <w:r w:rsidR="00B17DD0" w:rsidRPr="00141643">
        <w:rPr>
          <w:rFonts w:ascii="Arial" w:hAnsi="Arial"/>
          <w:sz w:val="20"/>
        </w:rPr>
        <w:t>échéance de 2026 fixée par le Secrétaire général de l</w:t>
      </w:r>
      <w:r w:rsidR="002F7D24" w:rsidRPr="00141643">
        <w:rPr>
          <w:rFonts w:ascii="Arial" w:hAnsi="Arial"/>
          <w:sz w:val="20"/>
        </w:rPr>
        <w:t>’</w:t>
      </w:r>
      <w:r w:rsidR="00B17DD0" w:rsidRPr="00141643">
        <w:rPr>
          <w:rFonts w:ascii="Arial" w:hAnsi="Arial"/>
          <w:sz w:val="20"/>
        </w:rPr>
        <w:t>ONU pour l</w:t>
      </w:r>
      <w:r w:rsidR="002F7D24" w:rsidRPr="00141643">
        <w:rPr>
          <w:rFonts w:ascii="Arial" w:hAnsi="Arial"/>
          <w:sz w:val="20"/>
        </w:rPr>
        <w:t>’</w:t>
      </w:r>
      <w:r w:rsidR="00B17DD0" w:rsidRPr="00141643">
        <w:rPr>
          <w:rFonts w:ascii="Arial" w:hAnsi="Arial"/>
          <w:sz w:val="20"/>
        </w:rPr>
        <w:t>adoption d</w:t>
      </w:r>
      <w:r w:rsidR="002F7D24" w:rsidRPr="00141643">
        <w:rPr>
          <w:rFonts w:ascii="Arial" w:hAnsi="Arial"/>
          <w:sz w:val="20"/>
        </w:rPr>
        <w:t>’</w:t>
      </w:r>
      <w:r w:rsidR="00B17DD0" w:rsidRPr="00141643">
        <w:rPr>
          <w:rFonts w:ascii="Arial" w:hAnsi="Arial"/>
          <w:sz w:val="20"/>
        </w:rPr>
        <w:t>un instrument juridiquement contraignant sur les SALA</w:t>
      </w:r>
      <w:r w:rsidR="00844A39" w:rsidRPr="00141643">
        <w:rPr>
          <w:rFonts w:ascii="Arial" w:hAnsi="Arial"/>
          <w:sz w:val="20"/>
        </w:rPr>
        <w:t> </w:t>
      </w:r>
      <w:r w:rsidR="00B17DD0" w:rsidRPr="00141643">
        <w:rPr>
          <w:rFonts w:ascii="Arial" w:hAnsi="Arial"/>
          <w:sz w:val="20"/>
        </w:rPr>
        <w:t>;</w:t>
      </w:r>
    </w:p>
    <w:p w14:paraId="584C69AA" w14:textId="77777777" w:rsidR="00631CAF" w:rsidRPr="00141643" w:rsidRDefault="00631CAF" w:rsidP="00222116">
      <w:pPr>
        <w:pStyle w:val="Paragraphedeliste"/>
        <w:tabs>
          <w:tab w:val="left" w:pos="1134"/>
        </w:tabs>
        <w:spacing w:line="240" w:lineRule="auto"/>
        <w:ind w:left="1134" w:hanging="567"/>
        <w:rPr>
          <w:sz w:val="20"/>
          <w:szCs w:val="20"/>
        </w:rPr>
      </w:pPr>
    </w:p>
    <w:p w14:paraId="067E7DD8" w14:textId="7C165EEC" w:rsidR="00631CAF" w:rsidRPr="00141643" w:rsidRDefault="006403E3" w:rsidP="00222116">
      <w:pPr>
        <w:pStyle w:val="NormalWeb"/>
        <w:tabs>
          <w:tab w:val="left" w:pos="1134"/>
        </w:tabs>
        <w:spacing w:before="0" w:beforeAutospacing="0" w:after="0" w:afterAutospacing="0"/>
        <w:ind w:left="1134" w:hanging="567"/>
        <w:rPr>
          <w:rFonts w:ascii="Arial" w:hAnsi="Arial" w:cs="Arial"/>
          <w:spacing w:val="-2"/>
          <w:sz w:val="20"/>
          <w:szCs w:val="20"/>
        </w:rPr>
      </w:pPr>
      <w:r w:rsidRPr="00141643">
        <w:rPr>
          <w:rFonts w:ascii="Arial" w:hAnsi="Arial"/>
          <w:iCs/>
          <w:spacing w:val="-2"/>
          <w:sz w:val="20"/>
        </w:rPr>
        <w:t>15.</w:t>
      </w:r>
      <w:r w:rsidRPr="00141643">
        <w:rPr>
          <w:rFonts w:ascii="Arial" w:hAnsi="Arial"/>
          <w:iCs/>
          <w:spacing w:val="-2"/>
          <w:sz w:val="20"/>
        </w:rPr>
        <w:tab/>
      </w:r>
      <w:r w:rsidR="00B17DD0" w:rsidRPr="00141643">
        <w:rPr>
          <w:rFonts w:ascii="Arial" w:hAnsi="Arial"/>
          <w:i/>
          <w:spacing w:val="-2"/>
          <w:sz w:val="20"/>
        </w:rPr>
        <w:t>suggère</w:t>
      </w:r>
      <w:r w:rsidR="00B17DD0" w:rsidRPr="00141643">
        <w:rPr>
          <w:rFonts w:ascii="Arial" w:hAnsi="Arial"/>
          <w:spacing w:val="-2"/>
          <w:sz w:val="20"/>
        </w:rPr>
        <w:t xml:space="preserve"> de compiler, à l</w:t>
      </w:r>
      <w:r w:rsidR="002F7D24" w:rsidRPr="00141643">
        <w:rPr>
          <w:rFonts w:ascii="Arial" w:hAnsi="Arial"/>
          <w:spacing w:val="-2"/>
          <w:sz w:val="20"/>
        </w:rPr>
        <w:t>’</w:t>
      </w:r>
      <w:r w:rsidR="00B17DD0" w:rsidRPr="00141643">
        <w:rPr>
          <w:rFonts w:ascii="Arial" w:hAnsi="Arial"/>
          <w:spacing w:val="-2"/>
          <w:sz w:val="20"/>
        </w:rPr>
        <w:t>issue des discussions susmentionnées, un ensemble de bonnes pratiques portant sur l</w:t>
      </w:r>
      <w:r w:rsidR="002F7D24" w:rsidRPr="00141643">
        <w:rPr>
          <w:rFonts w:ascii="Arial" w:hAnsi="Arial"/>
          <w:spacing w:val="-2"/>
          <w:sz w:val="20"/>
        </w:rPr>
        <w:t>’</w:t>
      </w:r>
      <w:r w:rsidR="00B17DD0" w:rsidRPr="00141643">
        <w:rPr>
          <w:rFonts w:ascii="Arial" w:hAnsi="Arial"/>
          <w:spacing w:val="-2"/>
          <w:sz w:val="20"/>
        </w:rPr>
        <w:t>utilisation de l</w:t>
      </w:r>
      <w:r w:rsidR="002F7D24" w:rsidRPr="00141643">
        <w:rPr>
          <w:rFonts w:ascii="Arial" w:hAnsi="Arial"/>
          <w:spacing w:val="-2"/>
          <w:sz w:val="20"/>
        </w:rPr>
        <w:t>’</w:t>
      </w:r>
      <w:r w:rsidR="004528FE" w:rsidRPr="00141643">
        <w:rPr>
          <w:rFonts w:ascii="Arial" w:hAnsi="Arial"/>
          <w:spacing w:val="-2"/>
          <w:sz w:val="20"/>
        </w:rPr>
        <w:t>IA</w:t>
      </w:r>
      <w:r w:rsidR="00B17DD0" w:rsidRPr="00141643">
        <w:rPr>
          <w:rFonts w:ascii="Arial" w:hAnsi="Arial"/>
          <w:spacing w:val="-2"/>
          <w:sz w:val="20"/>
        </w:rPr>
        <w:t xml:space="preserve"> dans les secteurs de la sécurité et de l</w:t>
      </w:r>
      <w:r w:rsidR="002F7D24" w:rsidRPr="00141643">
        <w:rPr>
          <w:rFonts w:ascii="Arial" w:hAnsi="Arial"/>
          <w:spacing w:val="-2"/>
          <w:sz w:val="20"/>
        </w:rPr>
        <w:t>’</w:t>
      </w:r>
      <w:r w:rsidR="00B17DD0" w:rsidRPr="00141643">
        <w:rPr>
          <w:rFonts w:ascii="Arial" w:hAnsi="Arial"/>
          <w:spacing w:val="-2"/>
          <w:sz w:val="20"/>
        </w:rPr>
        <w:t>armée</w:t>
      </w:r>
      <w:r w:rsidR="008B7ED4" w:rsidRPr="00141643">
        <w:rPr>
          <w:rFonts w:ascii="Arial" w:hAnsi="Arial"/>
          <w:spacing w:val="-2"/>
          <w:sz w:val="20"/>
        </w:rPr>
        <w:t> </w:t>
      </w:r>
      <w:r w:rsidR="00B17DD0" w:rsidRPr="00141643">
        <w:rPr>
          <w:rFonts w:ascii="Arial" w:hAnsi="Arial"/>
          <w:spacing w:val="-2"/>
          <w:sz w:val="20"/>
        </w:rPr>
        <w:t>;</w:t>
      </w:r>
    </w:p>
    <w:p w14:paraId="3DAE8E34" w14:textId="77777777" w:rsidR="00631CAF" w:rsidRPr="00141643" w:rsidRDefault="00631CAF" w:rsidP="00222116">
      <w:pPr>
        <w:pStyle w:val="Paragraphedeliste"/>
        <w:tabs>
          <w:tab w:val="left" w:pos="1134"/>
        </w:tabs>
        <w:spacing w:line="240" w:lineRule="auto"/>
        <w:ind w:left="1134" w:hanging="567"/>
        <w:rPr>
          <w:spacing w:val="-2"/>
          <w:sz w:val="20"/>
          <w:szCs w:val="20"/>
        </w:rPr>
      </w:pPr>
    </w:p>
    <w:p w14:paraId="6C922659" w14:textId="634A768D" w:rsidR="00EB3AAE" w:rsidRPr="00875C48" w:rsidRDefault="006403E3" w:rsidP="00222116">
      <w:pPr>
        <w:pStyle w:val="NormalWeb"/>
        <w:tabs>
          <w:tab w:val="left" w:pos="1134"/>
        </w:tabs>
        <w:spacing w:before="0" w:beforeAutospacing="0" w:after="0" w:afterAutospacing="0"/>
        <w:ind w:left="1134" w:hanging="567"/>
        <w:rPr>
          <w:rFonts w:ascii="Arial" w:hAnsi="Arial" w:cs="Arial"/>
          <w:sz w:val="20"/>
          <w:szCs w:val="20"/>
        </w:rPr>
      </w:pPr>
      <w:r w:rsidRPr="00141643">
        <w:rPr>
          <w:rFonts w:ascii="Arial" w:hAnsi="Arial"/>
          <w:iCs/>
          <w:sz w:val="20"/>
        </w:rPr>
        <w:t>16.</w:t>
      </w:r>
      <w:r w:rsidRPr="00141643">
        <w:rPr>
          <w:rFonts w:ascii="Arial" w:hAnsi="Arial"/>
          <w:i/>
          <w:sz w:val="20"/>
        </w:rPr>
        <w:tab/>
      </w:r>
      <w:r w:rsidR="00B17DD0" w:rsidRPr="00141643">
        <w:rPr>
          <w:rFonts w:ascii="Arial" w:hAnsi="Arial"/>
          <w:i/>
          <w:sz w:val="20"/>
        </w:rPr>
        <w:t xml:space="preserve">invite </w:t>
      </w:r>
      <w:r w:rsidR="00B17DD0" w:rsidRPr="00141643">
        <w:rPr>
          <w:rFonts w:ascii="Arial" w:hAnsi="Arial"/>
          <w:sz w:val="20"/>
        </w:rPr>
        <w:t>l</w:t>
      </w:r>
      <w:r w:rsidR="002F7D24" w:rsidRPr="00141643">
        <w:rPr>
          <w:rFonts w:ascii="Arial" w:hAnsi="Arial"/>
          <w:sz w:val="20"/>
        </w:rPr>
        <w:t>’</w:t>
      </w:r>
      <w:r w:rsidR="00B17DD0" w:rsidRPr="00141643">
        <w:rPr>
          <w:rFonts w:ascii="Arial" w:hAnsi="Arial"/>
          <w:sz w:val="20"/>
        </w:rPr>
        <w:t>UIP à communiquer au Secrétaire général de l</w:t>
      </w:r>
      <w:r w:rsidR="002F7D24" w:rsidRPr="00141643">
        <w:rPr>
          <w:rFonts w:ascii="Arial" w:hAnsi="Arial"/>
          <w:sz w:val="20"/>
        </w:rPr>
        <w:t>’</w:t>
      </w:r>
      <w:r w:rsidR="00B17DD0" w:rsidRPr="00141643">
        <w:rPr>
          <w:rFonts w:ascii="Arial" w:hAnsi="Arial"/>
          <w:sz w:val="20"/>
        </w:rPr>
        <w:t>ONU la présente résolution et les autres rapports et publications relatifs aux SALA afin qu</w:t>
      </w:r>
      <w:r w:rsidR="002F7D24" w:rsidRPr="00141643">
        <w:rPr>
          <w:rFonts w:ascii="Arial" w:hAnsi="Arial"/>
          <w:sz w:val="20"/>
        </w:rPr>
        <w:t>’</w:t>
      </w:r>
      <w:r w:rsidR="00B17DD0" w:rsidRPr="00141643">
        <w:rPr>
          <w:rFonts w:ascii="Arial" w:hAnsi="Arial"/>
          <w:sz w:val="20"/>
        </w:rPr>
        <w:t xml:space="preserve">ils soient inclus dans le rapport mentionné dans la résolution </w:t>
      </w:r>
      <w:r w:rsidR="00747AE9" w:rsidRPr="00141643">
        <w:rPr>
          <w:rFonts w:ascii="Arial" w:hAnsi="Arial"/>
          <w:sz w:val="20"/>
        </w:rPr>
        <w:t xml:space="preserve">78/241 </w:t>
      </w:r>
      <w:r w:rsidR="00B17DD0" w:rsidRPr="00141643">
        <w:rPr>
          <w:rFonts w:ascii="Arial" w:hAnsi="Arial"/>
          <w:sz w:val="20"/>
        </w:rPr>
        <w:t>adoptée par l</w:t>
      </w:r>
      <w:r w:rsidR="002F7D24" w:rsidRPr="00141643">
        <w:rPr>
          <w:rFonts w:ascii="Arial" w:hAnsi="Arial"/>
          <w:sz w:val="20"/>
        </w:rPr>
        <w:t>’</w:t>
      </w:r>
      <w:r w:rsidR="00B17DD0" w:rsidRPr="00141643">
        <w:rPr>
          <w:rFonts w:ascii="Arial" w:hAnsi="Arial"/>
          <w:sz w:val="20"/>
        </w:rPr>
        <w:t xml:space="preserve">Assemblée générale des Nations Unies en </w:t>
      </w:r>
      <w:r w:rsidR="00747AE9" w:rsidRPr="00141643">
        <w:rPr>
          <w:rFonts w:ascii="Arial" w:hAnsi="Arial"/>
          <w:sz w:val="20"/>
        </w:rPr>
        <w:t xml:space="preserve">décembre </w:t>
      </w:r>
      <w:r w:rsidR="00B17DD0" w:rsidRPr="00141643">
        <w:rPr>
          <w:rFonts w:ascii="Arial" w:hAnsi="Arial"/>
          <w:sz w:val="20"/>
        </w:rPr>
        <w:t>2023.</w:t>
      </w:r>
    </w:p>
    <w:sectPr w:rsidR="00EB3AAE" w:rsidRPr="00875C48" w:rsidSect="00222116">
      <w:headerReference w:type="default" r:id="rId13"/>
      <w:footerReference w:type="default" r:id="rId14"/>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DB80" w14:textId="77777777" w:rsidR="004442D5" w:rsidRDefault="004442D5">
      <w:pPr>
        <w:spacing w:line="240" w:lineRule="auto"/>
      </w:pPr>
      <w:r>
        <w:separator/>
      </w:r>
    </w:p>
  </w:endnote>
  <w:endnote w:type="continuationSeparator" w:id="0">
    <w:p w14:paraId="725792EE" w14:textId="77777777" w:rsidR="004442D5" w:rsidRDefault="004442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EE96" w14:textId="11C7B49F" w:rsidR="006403E3" w:rsidRPr="006403E3" w:rsidRDefault="006403E3" w:rsidP="006403E3">
    <w:pPr>
      <w:tabs>
        <w:tab w:val="left" w:pos="-142"/>
        <w:tab w:val="left" w:pos="0"/>
        <w:tab w:val="center" w:pos="4320"/>
        <w:tab w:val="right" w:pos="8640"/>
      </w:tabs>
      <w:spacing w:line="240" w:lineRule="auto"/>
      <w:ind w:left="-1276"/>
      <w:rPr>
        <w:rFonts w:eastAsia="MS Mincho"/>
        <w:b/>
        <w:color w:val="00AABE"/>
        <w:sz w:val="32"/>
        <w:szCs w:val="32"/>
      </w:rPr>
    </w:pPr>
    <w:bookmarkStart w:id="3" w:name="_Hlk119491489"/>
    <w:bookmarkStart w:id="4" w:name="_Hlk119491490"/>
    <w:bookmarkStart w:id="5" w:name="_Hlk119491497"/>
    <w:bookmarkStart w:id="6" w:name="_Hlk119491498"/>
    <w:bookmarkStart w:id="7" w:name="_Hlk119491499"/>
    <w:bookmarkStart w:id="8" w:name="_Hlk119491500"/>
    <w:bookmarkStart w:id="9" w:name="_Hlk119491501"/>
    <w:bookmarkStart w:id="10" w:name="_Hlk119491502"/>
    <w:bookmarkStart w:id="11" w:name="_Hlk150758106"/>
    <w:bookmarkStart w:id="12" w:name="_Hlk150758107"/>
    <w:r w:rsidRPr="002320D4">
      <w:rPr>
        <w:rFonts w:eastAsia="MS Mincho"/>
        <w:b/>
        <w:noProof/>
        <w:color w:val="00AABE"/>
        <w:sz w:val="32"/>
        <w:szCs w:val="32"/>
      </w:rPr>
      <w:drawing>
        <wp:anchor distT="0" distB="0" distL="114300" distR="114300" simplePos="0" relativeHeight="251661312" behindDoc="1" locked="0" layoutInCell="1" allowOverlap="1" wp14:anchorId="4116E886" wp14:editId="26E32549">
          <wp:simplePos x="0" y="0"/>
          <wp:positionH relativeFrom="column">
            <wp:posOffset>-1090930</wp:posOffset>
          </wp:positionH>
          <wp:positionV relativeFrom="paragraph">
            <wp:posOffset>-675005</wp:posOffset>
          </wp:positionV>
          <wp:extent cx="5940000" cy="818621"/>
          <wp:effectExtent l="0" t="0" r="3810" b="0"/>
          <wp:wrapNone/>
          <wp:docPr id="6" name="Picture 6" descr="Une image contenant blanc,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e image contenant blanc, conception&#10;&#10;Description générée automatiquement"/>
                  <pic:cNvPicPr/>
                </pic:nvPicPr>
                <pic:blipFill>
                  <a:blip r:embed="rId1"/>
                  <a:stretch>
                    <a:fillRect/>
                  </a:stretch>
                </pic:blipFill>
                <pic:spPr>
                  <a:xfrm>
                    <a:off x="0" y="0"/>
                    <a:ext cx="5940000" cy="818621"/>
                  </a:xfrm>
                  <a:prstGeom prst="rect">
                    <a:avLst/>
                  </a:prstGeom>
                </pic:spPr>
              </pic:pic>
            </a:graphicData>
          </a:graphic>
          <wp14:sizeRelH relativeFrom="margin">
            <wp14:pctWidth>0</wp14:pctWidth>
          </wp14:sizeRelH>
          <wp14:sizeRelV relativeFrom="margin">
            <wp14:pctHeight>0</wp14:pctHeight>
          </wp14:sizeRelV>
        </wp:anchor>
      </w:drawing>
    </w:r>
    <w:r w:rsidRPr="002320D4">
      <w:rPr>
        <w:rFonts w:eastAsia="MS Mincho"/>
        <w:b/>
        <w:color w:val="00AABE"/>
        <w:sz w:val="32"/>
        <w:szCs w:val="32"/>
      </w:rPr>
      <w:t>#IPU14</w:t>
    </w:r>
    <w:bookmarkEnd w:id="3"/>
    <w:bookmarkEnd w:id="4"/>
    <w:bookmarkEnd w:id="5"/>
    <w:bookmarkEnd w:id="6"/>
    <w:bookmarkEnd w:id="7"/>
    <w:bookmarkEnd w:id="8"/>
    <w:bookmarkEnd w:id="9"/>
    <w:bookmarkEnd w:id="10"/>
    <w:r w:rsidRPr="002320D4">
      <w:rPr>
        <w:rFonts w:eastAsia="MS Mincho"/>
        <w:b/>
        <w:color w:val="00AABE"/>
        <w:sz w:val="32"/>
        <w:szCs w:val="32"/>
      </w:rPr>
      <w:t>8</w:t>
    </w:r>
    <w:bookmarkEnd w:id="11"/>
    <w:bookmarkEnd w:id="1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0B7E" w14:textId="4E467D83" w:rsidR="00222116" w:rsidRPr="00222116" w:rsidRDefault="00222116" w:rsidP="002221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F934" w14:textId="77777777" w:rsidR="004442D5" w:rsidRDefault="004442D5">
      <w:pPr>
        <w:spacing w:line="240" w:lineRule="auto"/>
      </w:pPr>
      <w:r>
        <w:separator/>
      </w:r>
    </w:p>
  </w:footnote>
  <w:footnote w:type="continuationSeparator" w:id="0">
    <w:p w14:paraId="46A5269A" w14:textId="77777777" w:rsidR="004442D5" w:rsidRDefault="004442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94" w:type="dxa"/>
      <w:tblInd w:w="-1080" w:type="dxa"/>
      <w:tblLayout w:type="fixed"/>
      <w:tblLook w:val="04A0" w:firstRow="1" w:lastRow="0" w:firstColumn="1" w:lastColumn="0" w:noHBand="0" w:noVBand="1"/>
    </w:tblPr>
    <w:tblGrid>
      <w:gridCol w:w="2552"/>
      <w:gridCol w:w="7742"/>
    </w:tblGrid>
    <w:tr w:rsidR="006403E3" w:rsidRPr="002320D4" w14:paraId="51FB0FDC" w14:textId="77777777" w:rsidTr="00957D60">
      <w:trPr>
        <w:trHeight w:val="1985"/>
      </w:trPr>
      <w:tc>
        <w:tcPr>
          <w:tcW w:w="2552" w:type="dxa"/>
          <w:shd w:val="clear" w:color="auto" w:fill="auto"/>
        </w:tcPr>
        <w:p w14:paraId="51260497" w14:textId="77777777" w:rsidR="006403E3" w:rsidRPr="002320D4" w:rsidRDefault="006403E3" w:rsidP="006403E3">
          <w:pPr>
            <w:tabs>
              <w:tab w:val="left" w:pos="0"/>
              <w:tab w:val="center" w:pos="4320"/>
              <w:tab w:val="right" w:pos="8640"/>
            </w:tabs>
            <w:spacing w:line="240" w:lineRule="auto"/>
            <w:rPr>
              <w:rFonts w:ascii="Cambria" w:eastAsia="MS Mincho" w:hAnsi="Cambria" w:cs="Times New Roman"/>
              <w:sz w:val="24"/>
              <w:szCs w:val="24"/>
              <w:lang w:val="en-GB"/>
            </w:rPr>
          </w:pPr>
          <w:bookmarkStart w:id="1" w:name="_Hlk150758091"/>
          <w:bookmarkStart w:id="2" w:name="_Hlk150758092"/>
          <w:r w:rsidRPr="002320D4">
            <w:rPr>
              <w:rFonts w:ascii="Cambria" w:eastAsia="MS Mincho" w:hAnsi="Cambria" w:cs="Times New Roman"/>
              <w:noProof/>
              <w:sz w:val="24"/>
              <w:szCs w:val="24"/>
              <w:lang w:val="en-GB"/>
            </w:rPr>
            <w:drawing>
              <wp:anchor distT="0" distB="0" distL="114300" distR="114300" simplePos="0" relativeHeight="251659264" behindDoc="0" locked="0" layoutInCell="1" allowOverlap="1" wp14:anchorId="34429944" wp14:editId="79FEA17D">
                <wp:simplePos x="0" y="0"/>
                <wp:positionH relativeFrom="column">
                  <wp:posOffset>2540</wp:posOffset>
                </wp:positionH>
                <wp:positionV relativeFrom="paragraph">
                  <wp:posOffset>146957</wp:posOffset>
                </wp:positionV>
                <wp:extent cx="1469390" cy="1085215"/>
                <wp:effectExtent l="0" t="0" r="0" b="63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1085215"/>
                        </a:xfrm>
                        <a:prstGeom prst="rect">
                          <a:avLst/>
                        </a:prstGeom>
                        <a:noFill/>
                      </pic:spPr>
                    </pic:pic>
                  </a:graphicData>
                </a:graphic>
              </wp:anchor>
            </w:drawing>
          </w:r>
        </w:p>
      </w:tc>
      <w:tc>
        <w:tcPr>
          <w:tcW w:w="7742" w:type="dxa"/>
          <w:shd w:val="clear" w:color="auto" w:fill="auto"/>
          <w:vAlign w:val="center"/>
        </w:tcPr>
        <w:p w14:paraId="3A8AFE81" w14:textId="77777777" w:rsidR="006403E3" w:rsidRPr="002320D4" w:rsidRDefault="006403E3" w:rsidP="006403E3">
          <w:pPr>
            <w:keepNext/>
            <w:keepLines/>
            <w:tabs>
              <w:tab w:val="left" w:pos="-142"/>
              <w:tab w:val="left" w:pos="0"/>
            </w:tabs>
            <w:spacing w:line="240" w:lineRule="auto"/>
            <w:ind w:left="-166"/>
            <w:jc w:val="right"/>
            <w:outlineLvl w:val="0"/>
            <w:rPr>
              <w:rFonts w:eastAsia="MS Mincho"/>
              <w:b/>
              <w:color w:val="00AABE"/>
              <w:sz w:val="44"/>
              <w:szCs w:val="44"/>
              <w:lang w:val="fr-CH"/>
            </w:rPr>
          </w:pPr>
          <w:r w:rsidRPr="002320D4">
            <w:rPr>
              <w:rFonts w:eastAsia="MS Mincho"/>
              <w:b/>
              <w:bCs/>
              <w:color w:val="00AABE"/>
              <w:sz w:val="44"/>
              <w:szCs w:val="44"/>
              <w:lang w:val="fr-CH"/>
            </w:rPr>
            <w:t>148</w:t>
          </w:r>
          <w:r w:rsidRPr="002320D4">
            <w:rPr>
              <w:rFonts w:eastAsia="MS Mincho"/>
              <w:b/>
              <w:bCs/>
              <w:color w:val="00AABE"/>
              <w:sz w:val="44"/>
              <w:szCs w:val="44"/>
              <w:vertAlign w:val="superscript"/>
              <w:lang w:val="fr-CH"/>
            </w:rPr>
            <w:t>e</w:t>
          </w:r>
          <w:r w:rsidRPr="002320D4">
            <w:rPr>
              <w:rFonts w:eastAsia="MS Mincho"/>
              <w:b/>
              <w:bCs/>
              <w:color w:val="00AABE"/>
              <w:sz w:val="44"/>
              <w:szCs w:val="44"/>
              <w:lang w:val="fr-CH"/>
            </w:rPr>
            <w:t xml:space="preserve"> Assemblée de l'UIP</w:t>
          </w:r>
        </w:p>
        <w:p w14:paraId="0152790D" w14:textId="77777777" w:rsidR="006403E3" w:rsidRPr="002320D4" w:rsidRDefault="006403E3" w:rsidP="006403E3">
          <w:pPr>
            <w:tabs>
              <w:tab w:val="left" w:pos="-142"/>
              <w:tab w:val="left" w:pos="0"/>
            </w:tabs>
            <w:autoSpaceDE w:val="0"/>
            <w:autoSpaceDN w:val="0"/>
            <w:adjustRightInd w:val="0"/>
            <w:spacing w:line="240" w:lineRule="auto"/>
            <w:ind w:left="-166"/>
            <w:jc w:val="right"/>
            <w:rPr>
              <w:rFonts w:eastAsia="MS Mincho"/>
              <w:b/>
              <w:bCs/>
              <w:color w:val="00AABE"/>
              <w:sz w:val="16"/>
              <w:szCs w:val="16"/>
              <w:lang w:val="fr-CH"/>
            </w:rPr>
          </w:pPr>
        </w:p>
        <w:p w14:paraId="53FAA790" w14:textId="77777777" w:rsidR="006403E3" w:rsidRPr="002320D4" w:rsidRDefault="006403E3" w:rsidP="006403E3">
          <w:pPr>
            <w:tabs>
              <w:tab w:val="left" w:pos="-142"/>
              <w:tab w:val="left" w:pos="0"/>
            </w:tabs>
            <w:autoSpaceDE w:val="0"/>
            <w:autoSpaceDN w:val="0"/>
            <w:adjustRightInd w:val="0"/>
            <w:spacing w:line="240" w:lineRule="auto"/>
            <w:ind w:left="-166"/>
            <w:jc w:val="right"/>
            <w:rPr>
              <w:rFonts w:eastAsia="MS Mincho"/>
              <w:color w:val="00979B"/>
              <w:sz w:val="32"/>
              <w:szCs w:val="32"/>
              <w:lang w:val="fr-CH"/>
            </w:rPr>
          </w:pPr>
          <w:r w:rsidRPr="002320D4">
            <w:rPr>
              <w:rFonts w:eastAsia="MS Mincho"/>
              <w:b/>
              <w:bCs/>
              <w:color w:val="00AABE"/>
              <w:sz w:val="32"/>
              <w:szCs w:val="32"/>
              <w:lang w:val="fr-CH"/>
            </w:rPr>
            <w:t>Genève, 23-27 mars 2024</w:t>
          </w:r>
        </w:p>
      </w:tc>
    </w:tr>
    <w:bookmarkEnd w:id="1"/>
    <w:bookmarkEnd w:id="2"/>
  </w:tbl>
  <w:p w14:paraId="0C65A1F2" w14:textId="77777777" w:rsidR="006403E3" w:rsidRPr="006403E3" w:rsidRDefault="006403E3">
    <w:pPr>
      <w:pStyle w:val="En-tte"/>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3160" w14:textId="00F4733F" w:rsidR="00222116" w:rsidRPr="00041216" w:rsidRDefault="00222116" w:rsidP="00222116">
    <w:pPr>
      <w:pStyle w:val="En-tte"/>
      <w:tabs>
        <w:tab w:val="left" w:pos="7371"/>
      </w:tabs>
      <w:rPr>
        <w:sz w:val="20"/>
        <w:szCs w:val="20"/>
      </w:rPr>
    </w:pPr>
    <w:r w:rsidRPr="00041216">
      <w:rPr>
        <w:sz w:val="20"/>
        <w:szCs w:val="20"/>
      </w:rPr>
      <w:tab/>
      <w:t xml:space="preserve">- </w:t>
    </w:r>
    <w:r w:rsidRPr="00041216">
      <w:rPr>
        <w:sz w:val="20"/>
        <w:szCs w:val="20"/>
      </w:rPr>
      <w:fldChar w:fldCharType="begin"/>
    </w:r>
    <w:r w:rsidRPr="00041216">
      <w:rPr>
        <w:sz w:val="20"/>
        <w:szCs w:val="20"/>
      </w:rPr>
      <w:instrText>PAGE   \* MERGEFORMAT</w:instrText>
    </w:r>
    <w:r w:rsidRPr="00041216">
      <w:rPr>
        <w:sz w:val="20"/>
        <w:szCs w:val="20"/>
      </w:rPr>
      <w:fldChar w:fldCharType="separate"/>
    </w:r>
    <w:r w:rsidRPr="00041216">
      <w:rPr>
        <w:sz w:val="20"/>
        <w:szCs w:val="20"/>
      </w:rPr>
      <w:t>1</w:t>
    </w:r>
    <w:r w:rsidRPr="00041216">
      <w:rPr>
        <w:sz w:val="20"/>
        <w:szCs w:val="20"/>
      </w:rPr>
      <w:fldChar w:fldCharType="end"/>
    </w:r>
    <w:r w:rsidRPr="00041216">
      <w:rPr>
        <w:sz w:val="20"/>
        <w:szCs w:val="20"/>
      </w:rPr>
      <w:t xml:space="preserve"> - </w:t>
    </w:r>
    <w:r w:rsidRPr="00041216">
      <w:rPr>
        <w:sz w:val="20"/>
        <w:szCs w:val="20"/>
      </w:rPr>
      <w:tab/>
    </w:r>
    <w:r w:rsidRPr="00041216">
      <w:rPr>
        <w:sz w:val="20"/>
        <w:szCs w:val="20"/>
        <w:lang w:val="fr-CH"/>
      </w:rPr>
      <w:t>C-I/148/DR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26388"/>
    <w:multiLevelType w:val="hybridMultilevel"/>
    <w:tmpl w:val="3794746E"/>
    <w:lvl w:ilvl="0" w:tplc="FFFFFFFF">
      <w:start w:val="1"/>
      <w:numFmt w:val="decimal"/>
      <w:lvlText w:val="%1."/>
      <w:lvlJc w:val="left"/>
      <w:pPr>
        <w:ind w:left="927" w:hanging="360"/>
      </w:pPr>
      <w:rPr>
        <w:rFonts w:hint="default"/>
        <w:i/>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28545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08"/>
    <w:rsid w:val="0000246F"/>
    <w:rsid w:val="00041216"/>
    <w:rsid w:val="000441A6"/>
    <w:rsid w:val="00102ED9"/>
    <w:rsid w:val="00116FEA"/>
    <w:rsid w:val="00141643"/>
    <w:rsid w:val="00161225"/>
    <w:rsid w:val="001D2A12"/>
    <w:rsid w:val="00213FDB"/>
    <w:rsid w:val="00222116"/>
    <w:rsid w:val="00253B39"/>
    <w:rsid w:val="002641DC"/>
    <w:rsid w:val="002A7426"/>
    <w:rsid w:val="002A7DC1"/>
    <w:rsid w:val="002B2F1E"/>
    <w:rsid w:val="002F7D24"/>
    <w:rsid w:val="003262F3"/>
    <w:rsid w:val="00341F57"/>
    <w:rsid w:val="0035291D"/>
    <w:rsid w:val="00386D42"/>
    <w:rsid w:val="003F486A"/>
    <w:rsid w:val="00401383"/>
    <w:rsid w:val="0040323B"/>
    <w:rsid w:val="00411708"/>
    <w:rsid w:val="004442D5"/>
    <w:rsid w:val="004528FE"/>
    <w:rsid w:val="00465BBB"/>
    <w:rsid w:val="00482872"/>
    <w:rsid w:val="004F02CE"/>
    <w:rsid w:val="00516565"/>
    <w:rsid w:val="00526B26"/>
    <w:rsid w:val="00532B8D"/>
    <w:rsid w:val="00544266"/>
    <w:rsid w:val="005A4592"/>
    <w:rsid w:val="005C6074"/>
    <w:rsid w:val="005F38BA"/>
    <w:rsid w:val="005F6AC6"/>
    <w:rsid w:val="00622153"/>
    <w:rsid w:val="006242FF"/>
    <w:rsid w:val="00631CAF"/>
    <w:rsid w:val="006403E3"/>
    <w:rsid w:val="00661E09"/>
    <w:rsid w:val="00694782"/>
    <w:rsid w:val="006E46E6"/>
    <w:rsid w:val="00713ACA"/>
    <w:rsid w:val="007226DD"/>
    <w:rsid w:val="0074739A"/>
    <w:rsid w:val="00747AE9"/>
    <w:rsid w:val="007831D1"/>
    <w:rsid w:val="007D0FD5"/>
    <w:rsid w:val="007E1EBB"/>
    <w:rsid w:val="007E3FAB"/>
    <w:rsid w:val="007F70C6"/>
    <w:rsid w:val="008208B2"/>
    <w:rsid w:val="0082098B"/>
    <w:rsid w:val="00844A39"/>
    <w:rsid w:val="00847694"/>
    <w:rsid w:val="0085744B"/>
    <w:rsid w:val="00870080"/>
    <w:rsid w:val="00875C48"/>
    <w:rsid w:val="008B7ED4"/>
    <w:rsid w:val="00941A7E"/>
    <w:rsid w:val="00971005"/>
    <w:rsid w:val="009754C6"/>
    <w:rsid w:val="009A30C3"/>
    <w:rsid w:val="009F4FE6"/>
    <w:rsid w:val="00A06124"/>
    <w:rsid w:val="00A33D07"/>
    <w:rsid w:val="00A813B2"/>
    <w:rsid w:val="00A93B2C"/>
    <w:rsid w:val="00AD1040"/>
    <w:rsid w:val="00AD5726"/>
    <w:rsid w:val="00B17DD0"/>
    <w:rsid w:val="00B271D9"/>
    <w:rsid w:val="00B3222F"/>
    <w:rsid w:val="00BF0B2E"/>
    <w:rsid w:val="00BF5F7D"/>
    <w:rsid w:val="00C12A9F"/>
    <w:rsid w:val="00C32EDA"/>
    <w:rsid w:val="00C67543"/>
    <w:rsid w:val="00CA099A"/>
    <w:rsid w:val="00CA6911"/>
    <w:rsid w:val="00D218B4"/>
    <w:rsid w:val="00D93A2D"/>
    <w:rsid w:val="00DA5A4D"/>
    <w:rsid w:val="00DC30AD"/>
    <w:rsid w:val="00DF0AD5"/>
    <w:rsid w:val="00E33DA6"/>
    <w:rsid w:val="00E4060B"/>
    <w:rsid w:val="00EB3AAE"/>
    <w:rsid w:val="00EE33B7"/>
    <w:rsid w:val="00EE4279"/>
    <w:rsid w:val="00EE79FF"/>
    <w:rsid w:val="00EF6EF1"/>
    <w:rsid w:val="00F348A1"/>
    <w:rsid w:val="00F34DA1"/>
    <w:rsid w:val="00F50720"/>
    <w:rsid w:val="00F63697"/>
    <w:rsid w:val="00FE1EBA"/>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87305"/>
  <w15:docId w15:val="{436FECF0-B7C1-4B11-A39E-790D8320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708"/>
    <w:pPr>
      <w:spacing w:line="276" w:lineRule="auto"/>
    </w:pPr>
    <w:rPr>
      <w:rFonts w:ascii="Arial" w:eastAsia="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1170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uiPriority w:val="99"/>
    <w:unhideWhenUsed/>
    <w:rsid w:val="00411708"/>
    <w:rPr>
      <w:color w:val="0000FF"/>
      <w:u w:val="single"/>
      <w:lang w:val="fr-FR" w:eastAsia="fr-FR"/>
    </w:rPr>
  </w:style>
  <w:style w:type="character" w:customStyle="1" w:styleId="apple-converted-space">
    <w:name w:val="apple-converted-space"/>
    <w:basedOn w:val="Policepardfaut"/>
    <w:rsid w:val="00411708"/>
  </w:style>
  <w:style w:type="character" w:styleId="Appelnotedebasdep">
    <w:name w:val="footnote reference"/>
    <w:uiPriority w:val="99"/>
    <w:semiHidden/>
    <w:unhideWhenUsed/>
    <w:rsid w:val="00411708"/>
    <w:rPr>
      <w:vertAlign w:val="superscript"/>
      <w:lang w:val="fr-FR" w:eastAsia="fr-FR"/>
    </w:rPr>
  </w:style>
  <w:style w:type="paragraph" w:styleId="PrformatHTML">
    <w:name w:val="HTML Preformatted"/>
    <w:basedOn w:val="Normal"/>
    <w:link w:val="PrformatHTMLCar"/>
    <w:uiPriority w:val="99"/>
    <w:unhideWhenUsed/>
    <w:rsid w:val="0041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PrformatHTMLCar">
    <w:name w:val="Préformaté HTML Car"/>
    <w:link w:val="PrformatHTML"/>
    <w:uiPriority w:val="99"/>
    <w:rsid w:val="00411708"/>
    <w:rPr>
      <w:rFonts w:ascii="Courier New" w:eastAsia="Times New Roman" w:hAnsi="Courier New" w:cs="Courier New"/>
      <w:sz w:val="20"/>
      <w:szCs w:val="20"/>
      <w:lang w:val="fr-FR" w:eastAsia="fr-FR"/>
    </w:rPr>
  </w:style>
  <w:style w:type="character" w:customStyle="1" w:styleId="y2iqfc">
    <w:name w:val="y2iqfc"/>
    <w:basedOn w:val="Policepardfaut"/>
    <w:rsid w:val="00411708"/>
  </w:style>
  <w:style w:type="paragraph" w:customStyle="1" w:styleId="Default">
    <w:name w:val="Default"/>
    <w:rsid w:val="00411708"/>
    <w:pPr>
      <w:autoSpaceDE w:val="0"/>
      <w:autoSpaceDN w:val="0"/>
      <w:adjustRightInd w:val="0"/>
    </w:pPr>
    <w:rPr>
      <w:rFonts w:ascii="Arial" w:hAnsi="Arial"/>
      <w:color w:val="000000"/>
      <w:sz w:val="24"/>
      <w:szCs w:val="24"/>
    </w:rPr>
  </w:style>
  <w:style w:type="paragraph" w:customStyle="1" w:styleId="pf0">
    <w:name w:val="pf0"/>
    <w:basedOn w:val="Normal"/>
    <w:rsid w:val="00411708"/>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411708"/>
    <w:pPr>
      <w:ind w:left="720"/>
      <w:contextualSpacing/>
    </w:pPr>
  </w:style>
  <w:style w:type="paragraph" w:styleId="En-tte">
    <w:name w:val="header"/>
    <w:basedOn w:val="Normal"/>
    <w:link w:val="En-tteCar"/>
    <w:uiPriority w:val="99"/>
    <w:unhideWhenUsed/>
    <w:rsid w:val="004E2C4D"/>
    <w:pPr>
      <w:tabs>
        <w:tab w:val="center" w:pos="4536"/>
        <w:tab w:val="right" w:pos="9072"/>
      </w:tabs>
      <w:spacing w:line="240" w:lineRule="auto"/>
    </w:pPr>
  </w:style>
  <w:style w:type="character" w:customStyle="1" w:styleId="En-tteCar">
    <w:name w:val="En-tête Car"/>
    <w:link w:val="En-tte"/>
    <w:uiPriority w:val="99"/>
    <w:rsid w:val="004E2C4D"/>
    <w:rPr>
      <w:rFonts w:ascii="Arial" w:eastAsia="Arial" w:hAnsi="Arial" w:cs="Arial"/>
      <w:lang w:val="fr-FR" w:eastAsia="fr-FR"/>
    </w:rPr>
  </w:style>
  <w:style w:type="paragraph" w:styleId="Pieddepage">
    <w:name w:val="footer"/>
    <w:basedOn w:val="Normal"/>
    <w:link w:val="PieddepageCar"/>
    <w:uiPriority w:val="99"/>
    <w:unhideWhenUsed/>
    <w:rsid w:val="004E2C4D"/>
    <w:pPr>
      <w:tabs>
        <w:tab w:val="center" w:pos="4536"/>
        <w:tab w:val="right" w:pos="9072"/>
      </w:tabs>
      <w:spacing w:line="240" w:lineRule="auto"/>
    </w:pPr>
  </w:style>
  <w:style w:type="character" w:customStyle="1" w:styleId="PieddepageCar">
    <w:name w:val="Pied de page Car"/>
    <w:link w:val="Pieddepage"/>
    <w:uiPriority w:val="99"/>
    <w:rsid w:val="004E2C4D"/>
    <w:rPr>
      <w:rFonts w:ascii="Arial" w:eastAsia="Arial" w:hAnsi="Arial" w:cs="Arial"/>
      <w:lang w:val="fr-FR" w:eastAsia="fr-FR"/>
    </w:rPr>
  </w:style>
  <w:style w:type="paragraph" w:styleId="Rvision">
    <w:name w:val="Revision"/>
    <w:hidden/>
    <w:uiPriority w:val="99"/>
    <w:semiHidden/>
    <w:rsid w:val="004E2C4D"/>
    <w:rPr>
      <w:rFonts w:ascii="Arial" w:eastAsia="Arial" w:hAnsi="Arial"/>
      <w:sz w:val="22"/>
      <w:szCs w:val="22"/>
    </w:rPr>
  </w:style>
  <w:style w:type="character" w:styleId="Marquedecommentaire">
    <w:name w:val="annotation reference"/>
    <w:uiPriority w:val="99"/>
    <w:semiHidden/>
    <w:unhideWhenUsed/>
    <w:rsid w:val="00EA034B"/>
    <w:rPr>
      <w:sz w:val="16"/>
      <w:szCs w:val="16"/>
      <w:lang w:val="fr-FR" w:eastAsia="fr-FR"/>
    </w:rPr>
  </w:style>
  <w:style w:type="paragraph" w:styleId="Commentaire">
    <w:name w:val="annotation text"/>
    <w:basedOn w:val="Normal"/>
    <w:link w:val="CommentaireCar"/>
    <w:uiPriority w:val="99"/>
    <w:unhideWhenUsed/>
    <w:rsid w:val="00EA034B"/>
    <w:pPr>
      <w:spacing w:line="240" w:lineRule="auto"/>
    </w:pPr>
    <w:rPr>
      <w:sz w:val="20"/>
      <w:szCs w:val="20"/>
    </w:rPr>
  </w:style>
  <w:style w:type="character" w:customStyle="1" w:styleId="CommentaireCar">
    <w:name w:val="Commentaire Car"/>
    <w:link w:val="Commentaire"/>
    <w:uiPriority w:val="99"/>
    <w:rsid w:val="00EA034B"/>
    <w:rPr>
      <w:rFonts w:ascii="Arial" w:eastAsia="Arial" w:hAnsi="Arial" w:cs="Arial"/>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EA034B"/>
    <w:rPr>
      <w:b/>
      <w:bCs/>
    </w:rPr>
  </w:style>
  <w:style w:type="character" w:customStyle="1" w:styleId="ObjetducommentaireCar">
    <w:name w:val="Objet du commentaire Car"/>
    <w:link w:val="Objetducommentaire"/>
    <w:uiPriority w:val="99"/>
    <w:semiHidden/>
    <w:rsid w:val="00EA034B"/>
    <w:rPr>
      <w:rFonts w:ascii="Arial" w:eastAsia="Arial" w:hAnsi="Arial" w:cs="Arial"/>
      <w:b/>
      <w:bCs/>
      <w:sz w:val="20"/>
      <w:szCs w:val="20"/>
      <w:lang w:val="fr-FR" w:eastAsia="fr-FR"/>
    </w:rPr>
  </w:style>
  <w:style w:type="character" w:styleId="Mentionnonrsolue">
    <w:name w:val="Unresolved Mention"/>
    <w:uiPriority w:val="99"/>
    <w:semiHidden/>
    <w:unhideWhenUsed/>
    <w:rsid w:val="00EA034B"/>
    <w:rPr>
      <w:color w:val="605E5C"/>
      <w:lang w:val="fr-FR" w:eastAsia="fr-FR"/>
    </w:rPr>
  </w:style>
  <w:style w:type="character" w:styleId="Lienhypertextesuivivisit">
    <w:name w:val="FollowedHyperlink"/>
    <w:uiPriority w:val="99"/>
    <w:semiHidden/>
    <w:unhideWhenUsed/>
    <w:rsid w:val="00FB7617"/>
    <w:rPr>
      <w:color w:val="800080"/>
      <w:u w:val="single"/>
      <w:lang w:val="fr-FR" w:eastAsia="fr-FR"/>
    </w:rPr>
  </w:style>
  <w:style w:type="character" w:customStyle="1" w:styleId="cf01">
    <w:name w:val="cf01"/>
    <w:rsid w:val="00CA5D47"/>
    <w:rPr>
      <w:rFonts w:ascii="Segoe UI" w:hAnsi="Segoe UI" w:cs="Segoe UI" w:hint="default"/>
      <w:sz w:val="18"/>
      <w:szCs w:val="18"/>
      <w:lang w:val="fr-FR" w:eastAsia="fr-FR"/>
    </w:rPr>
  </w:style>
  <w:style w:type="character" w:styleId="Accentuation">
    <w:name w:val="Emphasis"/>
    <w:uiPriority w:val="20"/>
    <w:qFormat/>
    <w:rsid w:val="00CB7E69"/>
    <w:rPr>
      <w:i/>
      <w:i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B2173-63EA-44D0-B2A2-56F71867B8FC}">
  <ds:schemaRefs>
    <ds:schemaRef ds:uri="http://schemas.openxmlformats.org/officeDocument/2006/bibliography"/>
  </ds:schemaRefs>
</ds:datastoreItem>
</file>

<file path=customXml/itemProps2.xml><?xml version="1.0" encoding="utf-8"?>
<ds:datastoreItem xmlns:ds="http://schemas.openxmlformats.org/officeDocument/2006/customXml" ds:itemID="{C0641E24-B87E-4110-914D-FB49D4539D68}">
  <ds:schemaRefs>
    <ds:schemaRef ds:uri="http://schemas.microsoft.com/sharepoint/v3/contenttype/forms"/>
  </ds:schemaRefs>
</ds:datastoreItem>
</file>

<file path=customXml/itemProps3.xml><?xml version="1.0" encoding="utf-8"?>
<ds:datastoreItem xmlns:ds="http://schemas.openxmlformats.org/officeDocument/2006/customXml" ds:itemID="{34FA873D-AD66-44BF-91BB-5AEE49B0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58AAF-300D-4E8B-97EF-9192F7FEA1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2419</Words>
  <Characters>13309</Characters>
  <Application>Microsoft Office Word</Application>
  <DocSecurity>0</DocSecurity>
  <Lines>110</Lines>
  <Paragraphs>31</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15697</CharactersWithSpaces>
  <SharedDoc>false</SharedDoc>
  <HLinks>
    <vt:vector size="18" baseType="variant">
      <vt:variant>
        <vt:i4>5767182</vt:i4>
      </vt:variant>
      <vt:variant>
        <vt:i4>6</vt:i4>
      </vt:variant>
      <vt:variant>
        <vt:i4>0</vt:i4>
      </vt:variant>
      <vt:variant>
        <vt:i4>5</vt:i4>
      </vt:variant>
      <vt:variant>
        <vt:lpwstr>https://undocs.org/A/C.1/78/L.56</vt:lpwstr>
      </vt:variant>
      <vt:variant>
        <vt:lpwstr/>
      </vt:variant>
      <vt:variant>
        <vt:i4>5767182</vt:i4>
      </vt:variant>
      <vt:variant>
        <vt:i4>3</vt:i4>
      </vt:variant>
      <vt:variant>
        <vt:i4>0</vt:i4>
      </vt:variant>
      <vt:variant>
        <vt:i4>5</vt:i4>
      </vt:variant>
      <vt:variant>
        <vt:lpwstr>https://undocs.org/A/C.1/78/L.56</vt:lpwstr>
      </vt:variant>
      <vt:variant>
        <vt:lpwstr/>
      </vt:variant>
      <vt:variant>
        <vt:i4>5767182</vt:i4>
      </vt:variant>
      <vt:variant>
        <vt:i4>0</vt:i4>
      </vt:variant>
      <vt:variant>
        <vt:i4>0</vt:i4>
      </vt:variant>
      <vt:variant>
        <vt:i4>5</vt:i4>
      </vt:variant>
      <vt:variant>
        <vt:lpwstr>https://undocs.org/A/C.1/78/L.56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Marzal</dc:creator>
  <cp:keywords/>
  <dc:description/>
  <cp:lastModifiedBy>Diana Niavo Andrianarizafy</cp:lastModifiedBy>
  <cp:revision>68</cp:revision>
  <cp:lastPrinted>2024-01-19T08:04:00Z</cp:lastPrinted>
  <dcterms:created xsi:type="dcterms:W3CDTF">2024-01-01T17:18:00Z</dcterms:created>
  <dcterms:modified xsi:type="dcterms:W3CDTF">2024-01-19T09:12:00Z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