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87BC0" w14:textId="77777777" w:rsidR="00FA0987" w:rsidRDefault="00FA0987" w:rsidP="00585E6F">
      <w:pPr>
        <w:tabs>
          <w:tab w:val="left" w:pos="6804"/>
        </w:tabs>
        <w:rPr>
          <w:rFonts w:eastAsia="Calibri"/>
        </w:rPr>
      </w:pPr>
    </w:p>
    <w:p w14:paraId="4C6D9786" w14:textId="77777777" w:rsidR="00663917" w:rsidRDefault="00663917" w:rsidP="00585E6F">
      <w:pPr>
        <w:tabs>
          <w:tab w:val="left" w:pos="6804"/>
        </w:tabs>
        <w:rPr>
          <w:rFonts w:eastAsia="Calibri"/>
        </w:rPr>
      </w:pPr>
    </w:p>
    <w:p w14:paraId="6300482F" w14:textId="5A41FA34" w:rsidR="00585E6F" w:rsidRPr="00792F4B" w:rsidRDefault="00585E6F" w:rsidP="00585E6F">
      <w:pPr>
        <w:tabs>
          <w:tab w:val="left" w:pos="6804"/>
        </w:tabs>
        <w:rPr>
          <w:rFonts w:eastAsia="Calibri"/>
        </w:rPr>
      </w:pPr>
      <w:r w:rsidRPr="00792F4B">
        <w:rPr>
          <w:rFonts w:eastAsia="Calibri"/>
        </w:rPr>
        <w:t>Commission permanente de la</w:t>
      </w:r>
      <w:r w:rsidRPr="00792F4B">
        <w:rPr>
          <w:rFonts w:eastAsia="Calibri"/>
        </w:rPr>
        <w:tab/>
        <w:t>C-III/14</w:t>
      </w:r>
      <w:r w:rsidR="006A4710">
        <w:rPr>
          <w:rFonts w:eastAsia="Calibri"/>
        </w:rPr>
        <w:t>9</w:t>
      </w:r>
      <w:r w:rsidRPr="00792F4B">
        <w:rPr>
          <w:rFonts w:eastAsia="Calibri"/>
        </w:rPr>
        <w:t>/DR</w:t>
      </w:r>
    </w:p>
    <w:p w14:paraId="1CDE20FF" w14:textId="06CF9E53" w:rsidR="00585E6F" w:rsidRPr="00792F4B" w:rsidRDefault="00585E6F" w:rsidP="00585E6F">
      <w:pPr>
        <w:tabs>
          <w:tab w:val="left" w:pos="6804"/>
        </w:tabs>
        <w:rPr>
          <w:rFonts w:eastAsia="Calibri"/>
        </w:rPr>
      </w:pPr>
      <w:r w:rsidRPr="00792F4B">
        <w:rPr>
          <w:rFonts w:eastAsia="Calibri"/>
        </w:rPr>
        <w:t>démocratie et des droits de l'homme</w:t>
      </w:r>
      <w:r w:rsidRPr="00792F4B">
        <w:rPr>
          <w:rFonts w:eastAsia="Calibri"/>
        </w:rPr>
        <w:tab/>
      </w:r>
      <w:r w:rsidR="00B87579">
        <w:rPr>
          <w:rFonts w:eastAsia="Calibri"/>
        </w:rPr>
        <w:t xml:space="preserve">25 </w:t>
      </w:r>
      <w:r w:rsidR="006A4710">
        <w:rPr>
          <w:rFonts w:eastAsia="Calibri"/>
        </w:rPr>
        <w:t>juillet</w:t>
      </w:r>
      <w:r w:rsidRPr="00792F4B">
        <w:rPr>
          <w:rFonts w:eastAsia="Calibri"/>
        </w:rPr>
        <w:t xml:space="preserve"> 202</w:t>
      </w:r>
      <w:r w:rsidR="006A4710">
        <w:rPr>
          <w:rFonts w:eastAsia="Calibri"/>
        </w:rPr>
        <w:t>4</w:t>
      </w:r>
    </w:p>
    <w:p w14:paraId="10A49C06" w14:textId="77777777" w:rsidR="00585E6F" w:rsidRPr="00792F4B" w:rsidRDefault="00585E6F" w:rsidP="00585E6F">
      <w:pPr>
        <w:tabs>
          <w:tab w:val="left" w:pos="6096"/>
          <w:tab w:val="left" w:pos="6804"/>
        </w:tabs>
        <w:rPr>
          <w:rFonts w:eastAsia="MS Mincho"/>
        </w:rPr>
      </w:pPr>
    </w:p>
    <w:p w14:paraId="6464677F" w14:textId="77777777" w:rsidR="00663917" w:rsidRPr="00792F4B" w:rsidRDefault="00663917" w:rsidP="00585E6F">
      <w:pPr>
        <w:tabs>
          <w:tab w:val="left" w:pos="6096"/>
        </w:tabs>
        <w:rPr>
          <w:rFonts w:eastAsia="MS Mincho"/>
        </w:rPr>
      </w:pPr>
    </w:p>
    <w:p w14:paraId="2483CCA4" w14:textId="0EFD0A10" w:rsidR="00585E6F" w:rsidRPr="00A542AA" w:rsidRDefault="006A4710" w:rsidP="00585E6F">
      <w:pPr>
        <w:jc w:val="center"/>
        <w:rPr>
          <w:color w:val="005F9A"/>
          <w:sz w:val="18"/>
          <w:szCs w:val="18"/>
          <w:lang w:val="fr-CH"/>
        </w:rPr>
      </w:pPr>
      <w:r w:rsidRPr="00A542AA">
        <w:rPr>
          <w:b/>
          <w:color w:val="005F9A"/>
          <w:sz w:val="36"/>
          <w:szCs w:val="36"/>
        </w:rPr>
        <w:t xml:space="preserve">L’impact de l’intelligence artificielle sur </w:t>
      </w:r>
      <w:r w:rsidRPr="00A542AA">
        <w:rPr>
          <w:b/>
          <w:color w:val="005F9A"/>
          <w:sz w:val="36"/>
          <w:szCs w:val="36"/>
        </w:rPr>
        <w:br/>
        <w:t xml:space="preserve">la démocratie, les droits de l’homme </w:t>
      </w:r>
      <w:r w:rsidRPr="00A542AA">
        <w:rPr>
          <w:b/>
          <w:color w:val="005F9A"/>
          <w:sz w:val="36"/>
          <w:szCs w:val="36"/>
        </w:rPr>
        <w:br/>
        <w:t>et l’état de droit</w:t>
      </w:r>
    </w:p>
    <w:p w14:paraId="6F4E746F" w14:textId="77777777" w:rsidR="00585E6F" w:rsidRDefault="00585E6F" w:rsidP="00585E6F">
      <w:pPr>
        <w:rPr>
          <w:lang w:val="fr-CH"/>
        </w:rPr>
      </w:pPr>
    </w:p>
    <w:p w14:paraId="321AD817" w14:textId="77777777" w:rsidR="00FA0987" w:rsidRPr="00FA0987" w:rsidRDefault="00FA0987" w:rsidP="00585E6F">
      <w:pPr>
        <w:rPr>
          <w:lang w:val="fr-CH"/>
        </w:rPr>
      </w:pPr>
    </w:p>
    <w:p w14:paraId="2FD5C3C1" w14:textId="4E7EECCD" w:rsidR="00585E6F" w:rsidRPr="00792F4B" w:rsidRDefault="00585E6F" w:rsidP="00585E6F">
      <w:pPr>
        <w:jc w:val="center"/>
        <w:rPr>
          <w:b/>
          <w:bCs/>
          <w:i/>
          <w:iCs/>
          <w:color w:val="000000"/>
          <w:lang w:eastAsia="fr-CH"/>
        </w:rPr>
      </w:pPr>
      <w:r w:rsidRPr="00792F4B">
        <w:rPr>
          <w:b/>
          <w:bCs/>
          <w:i/>
          <w:iCs/>
          <w:color w:val="000000"/>
          <w:u w:val="single"/>
          <w:lang w:eastAsia="fr-CH"/>
        </w:rPr>
        <w:t>Projet de résolution</w:t>
      </w:r>
      <w:r w:rsidRPr="00792F4B">
        <w:rPr>
          <w:b/>
          <w:i/>
          <w:color w:val="000000"/>
          <w:lang w:eastAsia="fr-CH"/>
        </w:rPr>
        <w:t xml:space="preserve"> </w:t>
      </w:r>
      <w:r w:rsidRPr="00792F4B">
        <w:rPr>
          <w:b/>
          <w:bCs/>
          <w:i/>
          <w:iCs/>
          <w:color w:val="000000"/>
          <w:lang w:eastAsia="fr-CH"/>
        </w:rPr>
        <w:t xml:space="preserve">présenté par les </w:t>
      </w:r>
      <w:proofErr w:type="spellStart"/>
      <w:r w:rsidRPr="00792F4B">
        <w:rPr>
          <w:b/>
          <w:bCs/>
          <w:i/>
          <w:iCs/>
          <w:color w:val="000000"/>
          <w:lang w:eastAsia="fr-CH"/>
        </w:rPr>
        <w:t>co-rapporteur</w:t>
      </w:r>
      <w:r w:rsidR="00231CF6">
        <w:rPr>
          <w:b/>
          <w:bCs/>
          <w:i/>
          <w:iCs/>
          <w:color w:val="000000"/>
          <w:lang w:eastAsia="fr-CH"/>
        </w:rPr>
        <w:t>e</w:t>
      </w:r>
      <w:r w:rsidRPr="00792F4B">
        <w:rPr>
          <w:b/>
          <w:bCs/>
          <w:i/>
          <w:iCs/>
          <w:color w:val="000000"/>
          <w:lang w:eastAsia="fr-CH"/>
        </w:rPr>
        <w:t>s</w:t>
      </w:r>
      <w:proofErr w:type="spellEnd"/>
      <w:r w:rsidRPr="00792F4B">
        <w:rPr>
          <w:b/>
          <w:bCs/>
          <w:i/>
          <w:iCs/>
          <w:color w:val="000000"/>
          <w:lang w:eastAsia="fr-CH"/>
        </w:rPr>
        <w:t xml:space="preserve"> </w:t>
      </w:r>
    </w:p>
    <w:p w14:paraId="377702D1" w14:textId="65F98907" w:rsidR="00585E6F" w:rsidRPr="002645CC" w:rsidRDefault="00585E6F" w:rsidP="00585E6F">
      <w:pPr>
        <w:jc w:val="center"/>
        <w:rPr>
          <w:b/>
          <w:bCs/>
          <w:i/>
          <w:iCs/>
          <w:lang w:val="fr-CH"/>
        </w:rPr>
      </w:pPr>
      <w:r w:rsidRPr="002645CC">
        <w:rPr>
          <w:b/>
          <w:bCs/>
          <w:i/>
          <w:iCs/>
          <w:lang w:val="fr-CH"/>
        </w:rPr>
        <w:t xml:space="preserve">Mme M. </w:t>
      </w:r>
      <w:proofErr w:type="spellStart"/>
      <w:r w:rsidRPr="002645CC">
        <w:rPr>
          <w:b/>
          <w:bCs/>
          <w:i/>
          <w:iCs/>
          <w:lang w:val="fr-CH"/>
        </w:rPr>
        <w:t>Rempel</w:t>
      </w:r>
      <w:proofErr w:type="spellEnd"/>
      <w:r w:rsidRPr="002645CC">
        <w:rPr>
          <w:b/>
          <w:bCs/>
          <w:i/>
          <w:iCs/>
          <w:lang w:val="fr-CH"/>
        </w:rPr>
        <w:t xml:space="preserve"> Garner (Canada)</w:t>
      </w:r>
      <w:r w:rsidR="0044259F">
        <w:rPr>
          <w:b/>
          <w:bCs/>
          <w:i/>
          <w:iCs/>
          <w:lang w:val="fr-CH"/>
        </w:rPr>
        <w:t xml:space="preserve"> et</w:t>
      </w:r>
      <w:r w:rsidRPr="002645CC">
        <w:rPr>
          <w:b/>
          <w:bCs/>
          <w:i/>
          <w:iCs/>
          <w:lang w:val="fr-CH"/>
        </w:rPr>
        <w:t xml:space="preserve"> Mme N. </w:t>
      </w:r>
      <w:proofErr w:type="spellStart"/>
      <w:r w:rsidRPr="002645CC">
        <w:rPr>
          <w:b/>
          <w:bCs/>
          <w:i/>
          <w:iCs/>
          <w:lang w:val="fr-CH"/>
        </w:rPr>
        <w:t>Lugangira</w:t>
      </w:r>
      <w:proofErr w:type="spellEnd"/>
      <w:r w:rsidRPr="002645CC">
        <w:rPr>
          <w:b/>
          <w:bCs/>
          <w:i/>
          <w:iCs/>
          <w:lang w:val="fr-CH"/>
        </w:rPr>
        <w:t xml:space="preserve"> (</w:t>
      </w:r>
      <w:r w:rsidRPr="00585E6F">
        <w:rPr>
          <w:b/>
          <w:bCs/>
          <w:i/>
          <w:iCs/>
          <w:lang w:val="fr-CH"/>
        </w:rPr>
        <w:t>République-Unie de Tanzanie</w:t>
      </w:r>
      <w:r w:rsidRPr="002645CC">
        <w:rPr>
          <w:b/>
          <w:bCs/>
          <w:i/>
          <w:iCs/>
          <w:lang w:val="fr-CH"/>
        </w:rPr>
        <w:t xml:space="preserve">) </w:t>
      </w:r>
    </w:p>
    <w:p w14:paraId="065BAFBD" w14:textId="77777777" w:rsidR="00FF5F89" w:rsidRDefault="00FF5F89" w:rsidP="00200FA5">
      <w:pPr>
        <w:rPr>
          <w:b/>
          <w:bCs/>
          <w:i/>
          <w:iCs/>
          <w:lang w:val="fr-CH"/>
        </w:rPr>
      </w:pPr>
    </w:p>
    <w:p w14:paraId="7BFAF5E0" w14:textId="77777777" w:rsidR="00985832" w:rsidRPr="002645CC" w:rsidRDefault="00985832" w:rsidP="00200FA5">
      <w:pPr>
        <w:rPr>
          <w:b/>
          <w:bCs/>
          <w:i/>
          <w:iCs/>
          <w:lang w:val="fr-CH"/>
        </w:rPr>
      </w:pPr>
    </w:p>
    <w:p w14:paraId="19D6E461" w14:textId="77777777" w:rsidR="002645CC" w:rsidRDefault="002645CC" w:rsidP="00965C65">
      <w:pPr>
        <w:tabs>
          <w:tab w:val="left" w:pos="1134"/>
        </w:tabs>
        <w:ind w:firstLine="1134"/>
        <w:rPr>
          <w:bCs/>
        </w:rPr>
      </w:pPr>
      <w:r>
        <w:t>La 149</w:t>
      </w:r>
      <w:r>
        <w:rPr>
          <w:vertAlign w:val="superscript"/>
        </w:rPr>
        <w:t>e</w:t>
      </w:r>
      <w:r>
        <w:t> Assemblée de l’Union interparlementaire,</w:t>
      </w:r>
    </w:p>
    <w:p w14:paraId="640427B7" w14:textId="77777777" w:rsidR="002645CC" w:rsidRDefault="002645CC" w:rsidP="002645CC">
      <w:pPr>
        <w:rPr>
          <w:i/>
        </w:rPr>
      </w:pPr>
    </w:p>
    <w:p w14:paraId="0E748674" w14:textId="5FC97B70" w:rsidR="002645CC" w:rsidRDefault="00FA2844" w:rsidP="002645CC">
      <w:pPr>
        <w:tabs>
          <w:tab w:val="left" w:pos="1134"/>
        </w:tabs>
      </w:pPr>
      <w:r w:rsidRPr="00FA2844">
        <w:rPr>
          <w:iCs/>
        </w:rPr>
        <w:t>1)</w:t>
      </w:r>
      <w:r w:rsidR="002645CC">
        <w:rPr>
          <w:i/>
        </w:rPr>
        <w:tab/>
        <w:t xml:space="preserve">consciente </w:t>
      </w:r>
      <w:r w:rsidR="002645CC">
        <w:t>que les avancées en matière d’intelligence artificielle (IA) peuvent présenter des possibilités et des défis importants pour l’humanité,</w:t>
      </w:r>
    </w:p>
    <w:p w14:paraId="2756C3FE" w14:textId="77777777" w:rsidR="002645CC" w:rsidRDefault="002645CC" w:rsidP="002645CC"/>
    <w:p w14:paraId="46A9B56C" w14:textId="310AB832" w:rsidR="002645CC" w:rsidRDefault="00FA2844" w:rsidP="002645CC">
      <w:pPr>
        <w:tabs>
          <w:tab w:val="left" w:pos="1134"/>
        </w:tabs>
      </w:pPr>
      <w:r w:rsidRPr="00FA2844">
        <w:t>2)</w:t>
      </w:r>
      <w:r w:rsidR="002645CC" w:rsidRPr="00FA2844">
        <w:tab/>
      </w:r>
      <w:r w:rsidR="002645CC">
        <w:rPr>
          <w:i/>
        </w:rPr>
        <w:t>reconnaissant</w:t>
      </w:r>
      <w:r w:rsidR="002645CC">
        <w:t xml:space="preserve"> qu’une plus grande connaissance et une meilleure compréhension des systèmes d’IA sont des conditions </w:t>
      </w:r>
      <w:r w:rsidR="00DF13FE">
        <w:t xml:space="preserve">préalables </w:t>
      </w:r>
      <w:r w:rsidR="002645CC">
        <w:t>à des débats et des prises de décision éclairés,</w:t>
      </w:r>
    </w:p>
    <w:p w14:paraId="77A1DB61" w14:textId="77777777" w:rsidR="002645CC" w:rsidRDefault="002645CC" w:rsidP="002645CC">
      <w:pPr>
        <w:tabs>
          <w:tab w:val="left" w:pos="1134"/>
        </w:tabs>
      </w:pPr>
    </w:p>
    <w:p w14:paraId="176A0EB4" w14:textId="614A386B" w:rsidR="002645CC" w:rsidRDefault="00FA2844" w:rsidP="002645CC">
      <w:pPr>
        <w:tabs>
          <w:tab w:val="left" w:pos="1134"/>
        </w:tabs>
      </w:pPr>
      <w:r>
        <w:t>3)</w:t>
      </w:r>
      <w:r w:rsidR="002645CC">
        <w:tab/>
      </w:r>
      <w:r w:rsidR="002645CC">
        <w:rPr>
          <w:i/>
        </w:rPr>
        <w:t xml:space="preserve">alarmée </w:t>
      </w:r>
      <w:r w:rsidR="002645CC">
        <w:t>par le fait que les avancées en matière d’IA ont déjà eu des impacts considérables sur la démocratie, les droits de l’homme et l’état de droit</w:t>
      </w:r>
      <w:r w:rsidR="00EC3542">
        <w:t>,</w:t>
      </w:r>
      <w:r w:rsidR="002645CC">
        <w:t xml:space="preserve"> et peuvent toucher de manière disproportionnée les femmes et les filles,</w:t>
      </w:r>
    </w:p>
    <w:p w14:paraId="5AC2C99C" w14:textId="77777777" w:rsidR="002645CC" w:rsidRDefault="002645CC" w:rsidP="002645CC"/>
    <w:p w14:paraId="7DBD44AD" w14:textId="647EBD6D" w:rsidR="002645CC" w:rsidRDefault="00FA2844" w:rsidP="002645CC">
      <w:pPr>
        <w:tabs>
          <w:tab w:val="left" w:pos="1134"/>
        </w:tabs>
      </w:pPr>
      <w:r>
        <w:t>4)</w:t>
      </w:r>
      <w:r w:rsidR="002645CC">
        <w:tab/>
      </w:r>
      <w:r w:rsidR="002645CC">
        <w:rPr>
          <w:i/>
        </w:rPr>
        <w:t>reconnaissant</w:t>
      </w:r>
      <w:r w:rsidR="002645CC">
        <w:t xml:space="preserve"> que les règles relatives à l’élaboration, au déploiement et à l’utilisation des technologies d’IA doivent impérativement être établies dans le cadre d’une approche inclusive pour avoir des retombées politiques équitables dans tous les pays du monde, y compris les pays du Sud,</w:t>
      </w:r>
    </w:p>
    <w:p w14:paraId="6100AD56" w14:textId="77777777" w:rsidR="002645CC" w:rsidRDefault="002645CC" w:rsidP="002645CC">
      <w:pPr>
        <w:tabs>
          <w:tab w:val="left" w:pos="1134"/>
        </w:tabs>
      </w:pPr>
    </w:p>
    <w:p w14:paraId="7206AC42" w14:textId="4635E3EE" w:rsidR="002645CC" w:rsidRDefault="00FA2844" w:rsidP="002645CC">
      <w:pPr>
        <w:tabs>
          <w:tab w:val="left" w:pos="1134"/>
        </w:tabs>
      </w:pPr>
      <w:r>
        <w:t>5)</w:t>
      </w:r>
      <w:r w:rsidR="002645CC">
        <w:tab/>
      </w:r>
      <w:r w:rsidR="002645CC">
        <w:rPr>
          <w:i/>
        </w:rPr>
        <w:t>préoccupée</w:t>
      </w:r>
      <w:r w:rsidR="002645CC">
        <w:t xml:space="preserve"> par l’absence de législation et de réglementation exhaustives relatives à l’élaboration, au déploiement et à l’utilisation responsables des technologies d’IA, ainsi que par la lenteur de la communauté internationale à établir des règles en la matière,</w:t>
      </w:r>
    </w:p>
    <w:p w14:paraId="050B4F06" w14:textId="77777777" w:rsidR="002645CC" w:rsidRDefault="002645CC" w:rsidP="002645CC">
      <w:pPr>
        <w:tabs>
          <w:tab w:val="left" w:pos="1134"/>
        </w:tabs>
      </w:pPr>
    </w:p>
    <w:p w14:paraId="1DE35427" w14:textId="7C8C69DD" w:rsidR="002645CC" w:rsidRDefault="00FA2844" w:rsidP="002645CC">
      <w:pPr>
        <w:tabs>
          <w:tab w:val="left" w:pos="1134"/>
        </w:tabs>
      </w:pPr>
      <w:r>
        <w:t>6)</w:t>
      </w:r>
      <w:r w:rsidR="002645CC">
        <w:tab/>
      </w:r>
      <w:r w:rsidR="002645CC">
        <w:rPr>
          <w:i/>
        </w:rPr>
        <w:t xml:space="preserve">reconnaissant </w:t>
      </w:r>
      <w:r w:rsidR="002645CC">
        <w:t xml:space="preserve">l’importance de réglementer l’IA tout en </w:t>
      </w:r>
      <w:r w:rsidR="00EC3542">
        <w:t>permettant l’émergence</w:t>
      </w:r>
      <w:r w:rsidR="002645CC">
        <w:t xml:space="preserve"> </w:t>
      </w:r>
      <w:r w:rsidR="00EC3542">
        <w:t>d’</w:t>
      </w:r>
      <w:r w:rsidR="002645CC">
        <w:t>innovations bénéfiques à l’humanité,</w:t>
      </w:r>
    </w:p>
    <w:p w14:paraId="35200DC6" w14:textId="77777777" w:rsidR="002645CC" w:rsidRDefault="002645CC" w:rsidP="002645CC">
      <w:pPr>
        <w:tabs>
          <w:tab w:val="left" w:pos="1134"/>
        </w:tabs>
      </w:pPr>
    </w:p>
    <w:p w14:paraId="29BD21D9" w14:textId="1BD61E3B" w:rsidR="002645CC" w:rsidRDefault="00FA2844" w:rsidP="002645CC">
      <w:pPr>
        <w:tabs>
          <w:tab w:val="left" w:pos="1134"/>
        </w:tabs>
      </w:pPr>
      <w:r w:rsidRPr="00FA2844">
        <w:t>7)</w:t>
      </w:r>
      <w:r w:rsidR="002645CC">
        <w:rPr>
          <w:rFonts w:ascii="Times New Roman" w:hAnsi="Times New Roman"/>
        </w:rPr>
        <w:tab/>
      </w:r>
      <w:r w:rsidR="002645CC">
        <w:rPr>
          <w:i/>
        </w:rPr>
        <w:t xml:space="preserve">alarmée </w:t>
      </w:r>
      <w:r w:rsidR="002645CC">
        <w:t xml:space="preserve">par le fait que de grandes entreprises technologiques ont exercé d’intenses pressions pour influer sur l’établissement de règles </w:t>
      </w:r>
      <w:r w:rsidR="00E446B8">
        <w:t>en leur faveur,</w:t>
      </w:r>
      <w:r w:rsidR="002645CC">
        <w:t xml:space="preserve"> qui ne bénéficieraient pas à la communauté internationale,</w:t>
      </w:r>
    </w:p>
    <w:p w14:paraId="57C84F28" w14:textId="77777777" w:rsidR="002645CC" w:rsidRDefault="002645CC" w:rsidP="002645CC">
      <w:pPr>
        <w:tabs>
          <w:tab w:val="left" w:pos="1134"/>
        </w:tabs>
      </w:pPr>
    </w:p>
    <w:p w14:paraId="3A919CC1" w14:textId="756F1010" w:rsidR="002645CC" w:rsidRDefault="00FA2844" w:rsidP="002645CC">
      <w:pPr>
        <w:tabs>
          <w:tab w:val="left" w:pos="1134"/>
        </w:tabs>
      </w:pPr>
      <w:r>
        <w:t>8)</w:t>
      </w:r>
      <w:r w:rsidR="002645CC">
        <w:tab/>
      </w:r>
      <w:r w:rsidR="002645CC">
        <w:rPr>
          <w:i/>
        </w:rPr>
        <w:t>notant</w:t>
      </w:r>
      <w:r w:rsidR="002645CC">
        <w:t xml:space="preserve"> que </w:t>
      </w:r>
      <w:r w:rsidR="000B42D4">
        <w:t xml:space="preserve">certains </w:t>
      </w:r>
      <w:r w:rsidR="002645CC">
        <w:t xml:space="preserve">pays disposent </w:t>
      </w:r>
      <w:r w:rsidR="000B42D4">
        <w:t xml:space="preserve">peut-être </w:t>
      </w:r>
      <w:r w:rsidR="002645CC">
        <w:t xml:space="preserve">déjà de lois et </w:t>
      </w:r>
      <w:r w:rsidR="002061A0">
        <w:t>d’une réglementation</w:t>
      </w:r>
      <w:r w:rsidR="002645CC">
        <w:t xml:space="preserve"> qui pourraient être adaptées pour relever les défis émergents et exploiter les nouvelles possibilités dans le domaine de l’IA,</w:t>
      </w:r>
    </w:p>
    <w:p w14:paraId="7F376F2D" w14:textId="77777777" w:rsidR="002645CC" w:rsidRDefault="002645CC" w:rsidP="002645CC">
      <w:pPr>
        <w:tabs>
          <w:tab w:val="left" w:pos="1134"/>
        </w:tabs>
      </w:pPr>
    </w:p>
    <w:p w14:paraId="0CB1141A" w14:textId="19B9466E" w:rsidR="002645CC" w:rsidRDefault="00FA2844" w:rsidP="002645CC">
      <w:pPr>
        <w:tabs>
          <w:tab w:val="left" w:pos="1134"/>
        </w:tabs>
      </w:pPr>
      <w:r>
        <w:rPr>
          <w:iCs/>
        </w:rPr>
        <w:t>9)</w:t>
      </w:r>
      <w:r w:rsidR="002645CC">
        <w:rPr>
          <w:i/>
        </w:rPr>
        <w:tab/>
        <w:t xml:space="preserve">notant </w:t>
      </w:r>
      <w:r w:rsidR="002645CC">
        <w:t>également les nombreuses initiatives internationales et régionales visant à élaborer des normes éthiques et des cadres réglementaires en matière d’IA,</w:t>
      </w:r>
    </w:p>
    <w:p w14:paraId="005CDB94" w14:textId="77777777" w:rsidR="002645CC" w:rsidRDefault="002645CC" w:rsidP="002645CC">
      <w:pPr>
        <w:tabs>
          <w:tab w:val="left" w:pos="1134"/>
        </w:tabs>
      </w:pPr>
    </w:p>
    <w:p w14:paraId="459DC162" w14:textId="40C839FD" w:rsidR="00FF5F89" w:rsidRDefault="00FA2844" w:rsidP="005B45F3">
      <w:pPr>
        <w:tabs>
          <w:tab w:val="left" w:pos="1134"/>
        </w:tabs>
      </w:pPr>
      <w:r>
        <w:t>10)</w:t>
      </w:r>
      <w:r w:rsidR="002645CC">
        <w:tab/>
      </w:r>
      <w:r w:rsidR="002645CC">
        <w:rPr>
          <w:i/>
          <w:iCs/>
        </w:rPr>
        <w:t>saluant</w:t>
      </w:r>
      <w:r w:rsidR="002645CC">
        <w:t xml:space="preserve"> les efforts appréciables déployés par des organisations internationales </w:t>
      </w:r>
      <w:r w:rsidR="00106458">
        <w:t xml:space="preserve">clés </w:t>
      </w:r>
      <w:r w:rsidR="002645CC">
        <w:t>pour aider les parlementaires et d’autres acteurs à élaborer des politiques et des cadres réglementaires,</w:t>
      </w:r>
    </w:p>
    <w:p w14:paraId="5A453D14" w14:textId="746A7638" w:rsidR="005B45F3" w:rsidRPr="002645CC" w:rsidRDefault="005B45F3" w:rsidP="005B45F3">
      <w:pPr>
        <w:tabs>
          <w:tab w:val="left" w:pos="1134"/>
        </w:tabs>
        <w:rPr>
          <w:b/>
          <w:bCs/>
          <w:i/>
          <w:iCs/>
          <w:lang w:val="fr-CH"/>
        </w:rPr>
        <w:sectPr w:rsidR="005B45F3" w:rsidRPr="002645CC" w:rsidSect="0074161A">
          <w:headerReference w:type="even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 w:code="9"/>
          <w:pgMar w:top="2835" w:right="680" w:bottom="816" w:left="1928" w:header="709" w:footer="709" w:gutter="0"/>
          <w:cols w:space="708"/>
          <w:titlePg/>
          <w:docGrid w:linePitch="360"/>
        </w:sectPr>
      </w:pPr>
    </w:p>
    <w:p w14:paraId="66CDC819" w14:textId="77777777" w:rsidR="002645CC" w:rsidRDefault="002645CC" w:rsidP="002645CC">
      <w:pPr>
        <w:tabs>
          <w:tab w:val="left" w:pos="567"/>
          <w:tab w:val="left" w:pos="1134"/>
        </w:tabs>
        <w:ind w:left="1134" w:hanging="567"/>
      </w:pPr>
      <w:r>
        <w:lastRenderedPageBreak/>
        <w:t>1.</w:t>
      </w:r>
      <w:r>
        <w:tab/>
      </w:r>
      <w:r>
        <w:rPr>
          <w:i/>
        </w:rPr>
        <w:t xml:space="preserve">appelle </w:t>
      </w:r>
      <w:r>
        <w:t>à renforcer la coopération internationale en vue de déployer un effort collectif à l’échelle mondiale pour exploiter au maximum les avantages de l’IA en faveur de l’humanité, tout en prévenant les risques ;</w:t>
      </w:r>
    </w:p>
    <w:p w14:paraId="7F824F3B" w14:textId="77777777" w:rsidR="002645CC" w:rsidRDefault="002645CC" w:rsidP="002645CC">
      <w:pPr>
        <w:tabs>
          <w:tab w:val="left" w:pos="567"/>
          <w:tab w:val="left" w:pos="1134"/>
        </w:tabs>
        <w:ind w:left="1134" w:hanging="1134"/>
      </w:pPr>
    </w:p>
    <w:p w14:paraId="452676B4" w14:textId="77777777" w:rsidR="002645CC" w:rsidRDefault="002645CC" w:rsidP="002645CC">
      <w:pPr>
        <w:tabs>
          <w:tab w:val="left" w:pos="567"/>
          <w:tab w:val="left" w:pos="1134"/>
        </w:tabs>
        <w:ind w:left="1134" w:hanging="567"/>
        <w:rPr>
          <w:i/>
        </w:rPr>
      </w:pPr>
      <w:r>
        <w:t>2.</w:t>
      </w:r>
      <w:r>
        <w:tab/>
      </w:r>
      <w:r>
        <w:rPr>
          <w:i/>
        </w:rPr>
        <w:t xml:space="preserve">insiste </w:t>
      </w:r>
      <w:r>
        <w:t>pour que le point de vue de toutes les régions du monde, y compris les pays du Sud, soit intégré dans les débats sur les normes et les cadres relatifs à l’IA ;</w:t>
      </w:r>
    </w:p>
    <w:p w14:paraId="6FA4C35C" w14:textId="77777777" w:rsidR="002645CC" w:rsidRDefault="002645CC" w:rsidP="002645CC"/>
    <w:p w14:paraId="1EE796D0" w14:textId="77777777" w:rsidR="002645CC" w:rsidRPr="00174281" w:rsidRDefault="002645CC" w:rsidP="002645CC">
      <w:pPr>
        <w:tabs>
          <w:tab w:val="left" w:pos="1134"/>
        </w:tabs>
        <w:ind w:left="1134" w:hanging="567"/>
      </w:pPr>
      <w:r>
        <w:t>3.</w:t>
      </w:r>
      <w:r>
        <w:rPr>
          <w:i/>
        </w:rPr>
        <w:tab/>
        <w:t xml:space="preserve">exhorte </w:t>
      </w:r>
      <w:r>
        <w:t xml:space="preserve">les parlements à élaborer rapidement des cadres juridiques et des politiques solides en faveur de l’élaboration, du déploiement et de l’utilisation responsables des technologies d’IA et à contribuer aux efforts visant à établir des normes et des cadres mondiaux visant ce </w:t>
      </w:r>
      <w:r w:rsidRPr="00174281">
        <w:t>même objectif ;</w:t>
      </w:r>
    </w:p>
    <w:p w14:paraId="35915CBD" w14:textId="77777777" w:rsidR="002645CC" w:rsidRPr="00174281" w:rsidRDefault="002645CC" w:rsidP="002645CC">
      <w:pPr>
        <w:tabs>
          <w:tab w:val="left" w:pos="1134"/>
        </w:tabs>
        <w:ind w:left="567"/>
      </w:pPr>
    </w:p>
    <w:p w14:paraId="249F9AD3" w14:textId="4BFDE864" w:rsidR="002645CC" w:rsidRPr="00174281" w:rsidRDefault="002645CC" w:rsidP="002645CC">
      <w:pPr>
        <w:tabs>
          <w:tab w:val="left" w:pos="1134"/>
        </w:tabs>
        <w:ind w:left="1134" w:hanging="567"/>
      </w:pPr>
      <w:r w:rsidRPr="00174281">
        <w:t>4.</w:t>
      </w:r>
      <w:r w:rsidRPr="00174281">
        <w:rPr>
          <w:i/>
        </w:rPr>
        <w:tab/>
        <w:t xml:space="preserve">invite </w:t>
      </w:r>
      <w:r w:rsidRPr="00174281">
        <w:t xml:space="preserve">les parlements à examiner de toute urgence les législations et les réglementations pour s’assurer que les avancées en matière </w:t>
      </w:r>
      <w:r w:rsidR="00DE57EC" w:rsidRPr="00174281">
        <w:t xml:space="preserve">d’IA </w:t>
      </w:r>
      <w:r w:rsidRPr="00174281">
        <w:t xml:space="preserve">n’ont entraîné aucune faille dans les systèmes </w:t>
      </w:r>
      <w:r w:rsidR="00246E07" w:rsidRPr="00174281">
        <w:t xml:space="preserve">existants </w:t>
      </w:r>
      <w:r w:rsidRPr="00174281">
        <w:t>de protection de la démocratie, des droits de l’homme et de l’état de droit</w:t>
      </w:r>
      <w:r w:rsidR="006660F9">
        <w:t xml:space="preserve"> </w:t>
      </w:r>
      <w:r w:rsidRPr="00174281">
        <w:t>;</w:t>
      </w:r>
    </w:p>
    <w:p w14:paraId="1A03542A" w14:textId="77777777" w:rsidR="002645CC" w:rsidRPr="00174281" w:rsidRDefault="002645CC" w:rsidP="002645CC"/>
    <w:p w14:paraId="0CC09BFD" w14:textId="5EEF3E4F" w:rsidR="002645CC" w:rsidRPr="00174281" w:rsidRDefault="002645CC" w:rsidP="002645CC">
      <w:pPr>
        <w:tabs>
          <w:tab w:val="left" w:pos="1134"/>
        </w:tabs>
        <w:ind w:left="1134" w:hanging="567"/>
      </w:pPr>
      <w:r w:rsidRPr="00174281">
        <w:t>5.</w:t>
      </w:r>
      <w:r w:rsidRPr="00174281">
        <w:tab/>
      </w:r>
      <w:r w:rsidRPr="00174281">
        <w:rPr>
          <w:i/>
        </w:rPr>
        <w:t>demande instamment</w:t>
      </w:r>
      <w:r w:rsidRPr="00174281">
        <w:t xml:space="preserve"> que des mesures législatives soient prises pour empêcher la création et la diffusion d’images intimes </w:t>
      </w:r>
      <w:r w:rsidR="00F2622E" w:rsidRPr="00174281">
        <w:t xml:space="preserve">trafiquées </w:t>
      </w:r>
      <w:r w:rsidR="00246E07">
        <w:t>(</w:t>
      </w:r>
      <w:proofErr w:type="spellStart"/>
      <w:r w:rsidR="00246E07">
        <w:t>deepfake</w:t>
      </w:r>
      <w:proofErr w:type="spellEnd"/>
      <w:r w:rsidR="00246E07">
        <w:t xml:space="preserve">) </w:t>
      </w:r>
      <w:r w:rsidRPr="00174281">
        <w:t>ainsi que la diffusion de contenus générés par l’IA qui propagent des discours de haine ou incitent à la violence ;</w:t>
      </w:r>
    </w:p>
    <w:p w14:paraId="542CEC63" w14:textId="77777777" w:rsidR="002645CC" w:rsidRPr="00174281" w:rsidRDefault="002645CC" w:rsidP="002645CC"/>
    <w:p w14:paraId="5A7563A3" w14:textId="0EE64799" w:rsidR="002645CC" w:rsidRPr="00174281" w:rsidRDefault="002645CC" w:rsidP="002645CC">
      <w:pPr>
        <w:tabs>
          <w:tab w:val="left" w:pos="1134"/>
        </w:tabs>
        <w:ind w:left="1134" w:hanging="567"/>
      </w:pPr>
      <w:r w:rsidRPr="00174281">
        <w:t>6.</w:t>
      </w:r>
      <w:r w:rsidRPr="00174281">
        <w:tab/>
      </w:r>
      <w:r w:rsidRPr="00174281">
        <w:rPr>
          <w:i/>
          <w:iCs/>
        </w:rPr>
        <w:t>prône</w:t>
      </w:r>
      <w:r w:rsidRPr="00174281">
        <w:t xml:space="preserve"> l</w:t>
      </w:r>
      <w:r w:rsidR="00CF5B66" w:rsidRPr="00174281">
        <w:t xml:space="preserve">’élaboration </w:t>
      </w:r>
      <w:r w:rsidRPr="00174281">
        <w:t>et le déploiement d’outils visant à</w:t>
      </w:r>
      <w:r w:rsidRPr="00174281">
        <w:rPr>
          <w:i/>
        </w:rPr>
        <w:t xml:space="preserve"> </w:t>
      </w:r>
      <w:r w:rsidRPr="00174281">
        <w:t xml:space="preserve">aider les personnes à déterminer la provenance des images et </w:t>
      </w:r>
      <w:r w:rsidR="00980FB9" w:rsidRPr="00174281">
        <w:t xml:space="preserve">autres </w:t>
      </w:r>
      <w:r w:rsidRPr="00174281">
        <w:t>contenus en ligne ;</w:t>
      </w:r>
    </w:p>
    <w:p w14:paraId="647C3D9A" w14:textId="77777777" w:rsidR="002645CC" w:rsidRPr="00174281" w:rsidRDefault="002645CC" w:rsidP="002645CC">
      <w:pPr>
        <w:ind w:left="567"/>
      </w:pPr>
    </w:p>
    <w:p w14:paraId="0D54318A" w14:textId="63C82466" w:rsidR="002645CC" w:rsidRPr="00174281" w:rsidRDefault="002645CC" w:rsidP="002645CC">
      <w:pPr>
        <w:tabs>
          <w:tab w:val="left" w:pos="1134"/>
        </w:tabs>
        <w:ind w:left="1134" w:hanging="567"/>
      </w:pPr>
      <w:r w:rsidRPr="00174281">
        <w:t>7.</w:t>
      </w:r>
      <w:r w:rsidRPr="00174281">
        <w:rPr>
          <w:rFonts w:ascii="Times New Roman" w:hAnsi="Times New Roman"/>
        </w:rPr>
        <w:tab/>
      </w:r>
      <w:r w:rsidRPr="00174281">
        <w:rPr>
          <w:i/>
        </w:rPr>
        <w:t>exhorte</w:t>
      </w:r>
      <w:r w:rsidRPr="00174281">
        <w:t xml:space="preserve"> les parlements à accorder une priorité élevée aux débats sur l’IA et à veiller à ce que les </w:t>
      </w:r>
      <w:r w:rsidR="005C726F">
        <w:t>réponses</w:t>
      </w:r>
      <w:r w:rsidR="005C726F" w:rsidRPr="00174281">
        <w:t xml:space="preserve"> </w:t>
      </w:r>
      <w:r w:rsidRPr="00174281">
        <w:t xml:space="preserve">politiques </w:t>
      </w:r>
      <w:r w:rsidR="0015745B" w:rsidRPr="00174281">
        <w:t>évoluent au</w:t>
      </w:r>
      <w:r w:rsidRPr="00174281">
        <w:t xml:space="preserve"> rythme des avancées technologiques ;</w:t>
      </w:r>
    </w:p>
    <w:p w14:paraId="71FD2085" w14:textId="77777777" w:rsidR="002645CC" w:rsidRPr="00174281" w:rsidRDefault="002645CC" w:rsidP="002645CC">
      <w:pPr>
        <w:tabs>
          <w:tab w:val="left" w:pos="1134"/>
        </w:tabs>
        <w:ind w:left="1134" w:hanging="567"/>
        <w:rPr>
          <w:strike/>
        </w:rPr>
      </w:pPr>
    </w:p>
    <w:p w14:paraId="16D580A9" w14:textId="72D6C250" w:rsidR="002645CC" w:rsidRPr="00174281" w:rsidRDefault="002645CC" w:rsidP="002645CC">
      <w:pPr>
        <w:ind w:left="1134" w:hanging="567"/>
      </w:pPr>
      <w:r w:rsidRPr="00174281">
        <w:t>8.</w:t>
      </w:r>
      <w:r w:rsidRPr="00174281">
        <w:rPr>
          <w:i/>
        </w:rPr>
        <w:tab/>
        <w:t xml:space="preserve">appelle </w:t>
      </w:r>
      <w:r w:rsidRPr="00174281">
        <w:t xml:space="preserve">à poursuivre et à renforcer la </w:t>
      </w:r>
      <w:r w:rsidR="0055781E" w:rsidRPr="00174281">
        <w:t>sensibilisation en matière d</w:t>
      </w:r>
      <w:r w:rsidRPr="00174281">
        <w:t>’IA, notamment à l’intention des parlementaires ;</w:t>
      </w:r>
    </w:p>
    <w:p w14:paraId="17B58E11" w14:textId="77777777" w:rsidR="002645CC" w:rsidRPr="00174281" w:rsidRDefault="002645CC" w:rsidP="002645CC">
      <w:pPr>
        <w:ind w:left="1134" w:hanging="567"/>
        <w:rPr>
          <w:strike/>
        </w:rPr>
      </w:pPr>
    </w:p>
    <w:p w14:paraId="2B17DE45" w14:textId="199030D4" w:rsidR="002645CC" w:rsidRDefault="002645CC" w:rsidP="002645CC">
      <w:pPr>
        <w:tabs>
          <w:tab w:val="left" w:pos="1134"/>
        </w:tabs>
        <w:ind w:left="1134" w:hanging="567"/>
        <w:rPr>
          <w:i/>
        </w:rPr>
      </w:pPr>
      <w:r w:rsidRPr="00174281">
        <w:t>9.</w:t>
      </w:r>
      <w:r w:rsidRPr="00174281">
        <w:rPr>
          <w:i/>
        </w:rPr>
        <w:tab/>
      </w:r>
      <w:r w:rsidR="00DD6B6F">
        <w:rPr>
          <w:i/>
        </w:rPr>
        <w:t>exhorte</w:t>
      </w:r>
      <w:r w:rsidR="00DD6B6F" w:rsidRPr="00174281">
        <w:rPr>
          <w:i/>
        </w:rPr>
        <w:t xml:space="preserve"> </w:t>
      </w:r>
      <w:r w:rsidRPr="00174281">
        <w:t xml:space="preserve">les parlements et l’Union interparlementaire </w:t>
      </w:r>
      <w:r w:rsidR="00DD6B6F">
        <w:t xml:space="preserve">à </w:t>
      </w:r>
      <w:r w:rsidR="00C50102">
        <w:t xml:space="preserve">continuer </w:t>
      </w:r>
      <w:r w:rsidR="0055781E" w:rsidRPr="00174281">
        <w:t xml:space="preserve">d’attirer l’attention sur </w:t>
      </w:r>
      <w:r w:rsidRPr="00174281">
        <w:t xml:space="preserve">l’élaboration, le déploiement et l’utilisation responsables de </w:t>
      </w:r>
      <w:r w:rsidR="0055781E" w:rsidRPr="00174281">
        <w:t>l</w:t>
      </w:r>
      <w:r w:rsidRPr="00174281">
        <w:t xml:space="preserve">’IA </w:t>
      </w:r>
      <w:r w:rsidR="0036375F" w:rsidRPr="00174281">
        <w:t>en tant</w:t>
      </w:r>
      <w:r w:rsidRPr="00174281">
        <w:t xml:space="preserve"> </w:t>
      </w:r>
      <w:r w:rsidR="0036375F" w:rsidRPr="00174281">
        <w:t>qu’</w:t>
      </w:r>
      <w:r w:rsidRPr="00174281">
        <w:t>objectif de travail essentiel.</w:t>
      </w:r>
    </w:p>
    <w:p w14:paraId="4DB6CA78" w14:textId="77777777" w:rsidR="002645CC" w:rsidRDefault="002645CC" w:rsidP="002645CC"/>
    <w:p w14:paraId="39DD0F5C" w14:textId="77777777" w:rsidR="0074161A" w:rsidRPr="002645CC" w:rsidRDefault="0074161A" w:rsidP="00585E6F">
      <w:pPr>
        <w:rPr>
          <w:b/>
          <w:bCs/>
          <w:i/>
          <w:iCs/>
        </w:rPr>
      </w:pPr>
    </w:p>
    <w:p w14:paraId="58660E5A" w14:textId="77777777" w:rsidR="00200FA5" w:rsidRPr="002645CC" w:rsidRDefault="00200FA5" w:rsidP="00585E6F">
      <w:pPr>
        <w:rPr>
          <w:b/>
          <w:bCs/>
          <w:i/>
          <w:iCs/>
          <w:lang w:val="fr-CH"/>
        </w:rPr>
      </w:pPr>
    </w:p>
    <w:p w14:paraId="130C85FB" w14:textId="77777777" w:rsidR="00200FA5" w:rsidRPr="002645CC" w:rsidRDefault="00200FA5" w:rsidP="00585E6F">
      <w:pPr>
        <w:rPr>
          <w:lang w:val="fr-CH"/>
        </w:rPr>
      </w:pPr>
    </w:p>
    <w:sectPr w:rsidR="00200FA5" w:rsidRPr="002645CC" w:rsidSect="00FF5F89">
      <w:headerReference w:type="first" r:id="rId16"/>
      <w:footerReference w:type="first" r:id="rId17"/>
      <w:pgSz w:w="11900" w:h="16840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583FD" w14:textId="77777777" w:rsidR="00EC79CB" w:rsidRDefault="00EC79CB" w:rsidP="009C7898">
      <w:r>
        <w:separator/>
      </w:r>
    </w:p>
  </w:endnote>
  <w:endnote w:type="continuationSeparator" w:id="0">
    <w:p w14:paraId="70B583FE" w14:textId="77777777" w:rsidR="00EC79CB" w:rsidRDefault="00EC79CB" w:rsidP="009C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58402" w14:textId="47BD592B" w:rsidR="007A34A1" w:rsidRDefault="007A34A1" w:rsidP="009C7898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F55BB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70B58403" w14:textId="77777777" w:rsidR="007A34A1" w:rsidRDefault="007A34A1" w:rsidP="009C789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58404" w14:textId="77777777" w:rsidR="007A34A1" w:rsidRDefault="007A34A1" w:rsidP="008621F7">
    <w:pPr>
      <w:pStyle w:val="Pieddepage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24D06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70B58405" w14:textId="77777777" w:rsidR="007A34A1" w:rsidRDefault="007A34A1" w:rsidP="009C789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58408" w14:textId="0815563D" w:rsidR="00F021F6" w:rsidRPr="006F55BB" w:rsidRDefault="002C77C0" w:rsidP="006F55BB">
    <w:pPr>
      <w:pStyle w:val="Pieddepage"/>
      <w:ind w:left="-1276"/>
      <w:rPr>
        <w:b/>
        <w:color w:val="00AABE"/>
        <w:sz w:val="32"/>
        <w:szCs w:val="32"/>
      </w:rPr>
    </w:pPr>
    <w:bookmarkStart w:id="0" w:name="_Hlk119491489"/>
    <w:bookmarkStart w:id="1" w:name="_Hlk119491490"/>
    <w:bookmarkStart w:id="2" w:name="_Hlk119491497"/>
    <w:bookmarkStart w:id="3" w:name="_Hlk119491498"/>
    <w:bookmarkStart w:id="4" w:name="_Hlk119491499"/>
    <w:bookmarkStart w:id="5" w:name="_Hlk119491500"/>
    <w:bookmarkStart w:id="6" w:name="_Hlk119491501"/>
    <w:bookmarkStart w:id="7" w:name="_Hlk119491502"/>
    <w:r w:rsidRPr="00F377FF">
      <w:rPr>
        <w:b/>
        <w:noProof/>
        <w:color w:val="00AABE"/>
        <w:sz w:val="32"/>
        <w:szCs w:val="32"/>
      </w:rPr>
      <w:drawing>
        <wp:anchor distT="0" distB="0" distL="114300" distR="114300" simplePos="0" relativeHeight="251667456" behindDoc="1" locked="0" layoutInCell="1" allowOverlap="1" wp14:anchorId="51D78616" wp14:editId="0692DCD5">
          <wp:simplePos x="0" y="0"/>
          <wp:positionH relativeFrom="column">
            <wp:posOffset>-1238250</wp:posOffset>
          </wp:positionH>
          <wp:positionV relativeFrom="paragraph">
            <wp:posOffset>-665406</wp:posOffset>
          </wp:positionV>
          <wp:extent cx="5940000" cy="818621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apier entete-bottom_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0000" cy="8186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55BB" w:rsidRPr="00F377FF">
      <w:rPr>
        <w:b/>
        <w:color w:val="00AABE"/>
        <w:sz w:val="32"/>
        <w:szCs w:val="32"/>
      </w:rPr>
      <w:t>#IPU14</w:t>
    </w:r>
    <w:bookmarkEnd w:id="0"/>
    <w:bookmarkEnd w:id="1"/>
    <w:bookmarkEnd w:id="2"/>
    <w:bookmarkEnd w:id="3"/>
    <w:bookmarkEnd w:id="4"/>
    <w:bookmarkEnd w:id="5"/>
    <w:bookmarkEnd w:id="6"/>
    <w:bookmarkEnd w:id="7"/>
    <w:r w:rsidR="00151616">
      <w:rPr>
        <w:b/>
        <w:color w:val="00AABE"/>
        <w:sz w:val="32"/>
        <w:szCs w:val="32"/>
      </w:rPr>
      <w:t>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705C" w14:textId="66E9A11C" w:rsidR="00FF5F89" w:rsidRPr="00FF5F89" w:rsidRDefault="00FF5F89" w:rsidP="00FF5F89">
    <w:pPr>
      <w:pStyle w:val="Pieddepage"/>
      <w:rPr>
        <w:b/>
        <w:color w:val="00AABE"/>
        <w:sz w:val="32"/>
        <w:szCs w:val="32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583FB" w14:textId="77777777" w:rsidR="00EC79CB" w:rsidRDefault="00EC79CB" w:rsidP="009C7898">
      <w:r>
        <w:separator/>
      </w:r>
    </w:p>
  </w:footnote>
  <w:footnote w:type="continuationSeparator" w:id="0">
    <w:p w14:paraId="70B583FC" w14:textId="77777777" w:rsidR="00EC79CB" w:rsidRDefault="00EC79CB" w:rsidP="009C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rameclaire-Accent1"/>
      <w:tblW w:w="5000" w:type="pct"/>
      <w:tblBorders>
        <w:left w:val="single" w:sz="8" w:space="0" w:color="DBE5F1" w:themeColor="accent1" w:themeTint="33"/>
        <w:right w:val="single" w:sz="8" w:space="0" w:color="DBE5F1" w:themeColor="accent1" w:themeTint="33"/>
      </w:tblBorders>
      <w:shd w:val="clear" w:color="auto" w:fill="DBE5F1" w:themeFill="accent1" w:themeFillTint="33"/>
      <w:tblLook w:val="0600" w:firstRow="0" w:lastRow="0" w:firstColumn="0" w:lastColumn="0" w:noHBand="1" w:noVBand="1"/>
    </w:tblPr>
    <w:tblGrid>
      <w:gridCol w:w="9272"/>
    </w:tblGrid>
    <w:tr w:rsidR="007A34A1" w14:paraId="70B58400" w14:textId="77777777" w:rsidTr="0001419C">
      <w:tc>
        <w:tcPr>
          <w:tcW w:w="5000" w:type="pct"/>
          <w:shd w:val="clear" w:color="auto" w:fill="DBE5F1" w:themeFill="accent1" w:themeFillTint="33"/>
        </w:tcPr>
        <w:p w14:paraId="70B583FF" w14:textId="77777777" w:rsidR="007A34A1" w:rsidRPr="00217D74" w:rsidRDefault="007A34A1" w:rsidP="009C7898">
          <w:r w:rsidRPr="00217D74">
            <w:fldChar w:fldCharType="begin"/>
          </w:r>
          <w:r w:rsidRPr="00217D74">
            <w:instrText xml:space="preserve"> PAGE   \* MERGEFORMAT </w:instrText>
          </w:r>
          <w:r w:rsidRPr="00217D74">
            <w:fldChar w:fldCharType="separate"/>
          </w:r>
          <w:r>
            <w:rPr>
              <w:noProof/>
            </w:rPr>
            <w:t>2</w:t>
          </w:r>
          <w:r w:rsidRPr="00217D74">
            <w:fldChar w:fldCharType="end"/>
          </w:r>
        </w:p>
      </w:tc>
    </w:tr>
  </w:tbl>
  <w:p w14:paraId="70B58401" w14:textId="77777777" w:rsidR="007A34A1" w:rsidRDefault="007A34A1" w:rsidP="009C789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76" w:type="dxa"/>
      <w:tblInd w:w="-1080" w:type="dxa"/>
      <w:tblLayout w:type="fixed"/>
      <w:tblLook w:val="04A0" w:firstRow="1" w:lastRow="0" w:firstColumn="1" w:lastColumn="0" w:noHBand="0" w:noVBand="1"/>
    </w:tblPr>
    <w:tblGrid>
      <w:gridCol w:w="2552"/>
      <w:gridCol w:w="5474"/>
      <w:gridCol w:w="2450"/>
    </w:tblGrid>
    <w:tr w:rsidR="00D05DA6" w:rsidRPr="006C16D7" w14:paraId="44EDAC34" w14:textId="77777777" w:rsidTr="00D05DA6">
      <w:trPr>
        <w:trHeight w:val="1985"/>
      </w:trPr>
      <w:tc>
        <w:tcPr>
          <w:tcW w:w="2552" w:type="dxa"/>
          <w:shd w:val="clear" w:color="auto" w:fill="auto"/>
        </w:tcPr>
        <w:p w14:paraId="211EFF34" w14:textId="26A28BBA" w:rsidR="00D05DA6" w:rsidRPr="006F3588" w:rsidRDefault="00D05DA6" w:rsidP="00D05DA6">
          <w:pPr>
            <w:tabs>
              <w:tab w:val="clear" w:pos="-142"/>
              <w:tab w:val="center" w:pos="4320"/>
              <w:tab w:val="right" w:pos="8640"/>
            </w:tabs>
            <w:rPr>
              <w:rFonts w:ascii="Cambria" w:eastAsia="MS Mincho" w:hAnsi="Cambria" w:cs="Times New Roman"/>
              <w:sz w:val="24"/>
              <w:szCs w:val="24"/>
              <w:lang w:val="en-GB"/>
            </w:rPr>
          </w:pPr>
          <w:r>
            <w:rPr>
              <w:rFonts w:ascii="Cambria" w:eastAsia="MS Mincho" w:hAnsi="Cambria" w:cs="Times New Roman"/>
              <w:noProof/>
              <w:sz w:val="24"/>
              <w:szCs w:val="24"/>
              <w:lang w:val="en-GB"/>
            </w:rPr>
            <w:drawing>
              <wp:anchor distT="0" distB="0" distL="114300" distR="114300" simplePos="0" relativeHeight="251668480" behindDoc="0" locked="0" layoutInCell="1" allowOverlap="1" wp14:anchorId="68226CC1" wp14:editId="5DED77E0">
                <wp:simplePos x="0" y="0"/>
                <wp:positionH relativeFrom="column">
                  <wp:posOffset>2540</wp:posOffset>
                </wp:positionH>
                <wp:positionV relativeFrom="paragraph">
                  <wp:posOffset>146957</wp:posOffset>
                </wp:positionV>
                <wp:extent cx="1469390" cy="1085215"/>
                <wp:effectExtent l="0" t="0" r="0" b="635"/>
                <wp:wrapSquare wrapText="bothSides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9390" cy="1085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74" w:type="dxa"/>
          <w:shd w:val="clear" w:color="auto" w:fill="auto"/>
          <w:vAlign w:val="center"/>
        </w:tcPr>
        <w:p w14:paraId="3D313081" w14:textId="3052C1AC" w:rsidR="00D05DA6" w:rsidRPr="00D05DA6" w:rsidRDefault="00D05DA6" w:rsidP="00D05DA6">
          <w:pPr>
            <w:keepNext/>
            <w:keepLines/>
            <w:ind w:left="172"/>
            <w:jc w:val="center"/>
            <w:outlineLvl w:val="0"/>
            <w:rPr>
              <w:rFonts w:eastAsia="MS Mincho"/>
              <w:b/>
              <w:color w:val="00AABE"/>
              <w:sz w:val="44"/>
              <w:szCs w:val="44"/>
              <w:lang w:val="fr-CH"/>
            </w:rPr>
          </w:pPr>
          <w:r w:rsidRPr="002C77C0">
            <w:rPr>
              <w:rFonts w:eastAsia="MS Mincho"/>
              <w:b/>
              <w:bCs/>
              <w:color w:val="00AABE"/>
              <w:sz w:val="44"/>
              <w:szCs w:val="44"/>
              <w:lang w:val="fr-CH"/>
            </w:rPr>
            <w:t>14</w:t>
          </w:r>
          <w:r w:rsidR="0045181F">
            <w:rPr>
              <w:rFonts w:eastAsia="MS Mincho"/>
              <w:b/>
              <w:bCs/>
              <w:color w:val="00AABE"/>
              <w:sz w:val="44"/>
              <w:szCs w:val="44"/>
              <w:lang w:val="fr-CH"/>
            </w:rPr>
            <w:t>9</w:t>
          </w:r>
          <w:r w:rsidRPr="002C77C0">
            <w:rPr>
              <w:rFonts w:eastAsia="MS Mincho"/>
              <w:b/>
              <w:bCs/>
              <w:color w:val="00AABE"/>
              <w:sz w:val="44"/>
              <w:szCs w:val="44"/>
              <w:vertAlign w:val="superscript"/>
              <w:lang w:val="fr-CH"/>
            </w:rPr>
            <w:t>e</w:t>
          </w:r>
          <w:r w:rsidRPr="002C77C0">
            <w:rPr>
              <w:rFonts w:eastAsia="MS Mincho"/>
              <w:b/>
              <w:bCs/>
              <w:color w:val="00AABE"/>
              <w:sz w:val="44"/>
              <w:szCs w:val="44"/>
              <w:lang w:val="fr-CH"/>
            </w:rPr>
            <w:t xml:space="preserve"> Assemblée de l'UIP</w:t>
          </w:r>
        </w:p>
        <w:p w14:paraId="231E8AB3" w14:textId="77777777" w:rsidR="00D05DA6" w:rsidRPr="00D05DA6" w:rsidRDefault="00D05DA6" w:rsidP="00D05DA6">
          <w:pPr>
            <w:autoSpaceDE w:val="0"/>
            <w:autoSpaceDN w:val="0"/>
            <w:adjustRightInd w:val="0"/>
            <w:ind w:left="172"/>
            <w:jc w:val="center"/>
            <w:rPr>
              <w:b/>
              <w:bCs/>
              <w:color w:val="00AABE"/>
              <w:sz w:val="16"/>
              <w:szCs w:val="16"/>
              <w:lang w:val="fr-CH"/>
            </w:rPr>
          </w:pPr>
        </w:p>
        <w:p w14:paraId="65BBB397" w14:textId="5111499F" w:rsidR="00D05DA6" w:rsidRPr="00D05DA6" w:rsidRDefault="00DC4F64" w:rsidP="00D05DA6">
          <w:pPr>
            <w:autoSpaceDE w:val="0"/>
            <w:autoSpaceDN w:val="0"/>
            <w:adjustRightInd w:val="0"/>
            <w:ind w:left="172"/>
            <w:jc w:val="center"/>
            <w:rPr>
              <w:b/>
              <w:bCs/>
              <w:color w:val="00AABE"/>
              <w:sz w:val="32"/>
              <w:szCs w:val="32"/>
              <w:lang w:val="fr-CH"/>
            </w:rPr>
          </w:pPr>
          <w:r>
            <w:rPr>
              <w:b/>
              <w:bCs/>
              <w:color w:val="00AABE"/>
              <w:sz w:val="32"/>
              <w:szCs w:val="32"/>
              <w:lang w:val="fr-CH"/>
            </w:rPr>
            <w:t>Genève</w:t>
          </w:r>
        </w:p>
        <w:p w14:paraId="6CE59B64" w14:textId="0E6F9A77" w:rsidR="00D05DA6" w:rsidRPr="00D05DA6" w:rsidRDefault="0045181F" w:rsidP="00D05DA6">
          <w:pPr>
            <w:autoSpaceDE w:val="0"/>
            <w:autoSpaceDN w:val="0"/>
            <w:adjustRightInd w:val="0"/>
            <w:ind w:left="172"/>
            <w:jc w:val="center"/>
            <w:rPr>
              <w:rFonts w:eastAsia="MS Mincho"/>
              <w:color w:val="00979B"/>
              <w:sz w:val="32"/>
              <w:szCs w:val="32"/>
              <w:lang w:val="fr-CH"/>
            </w:rPr>
          </w:pPr>
          <w:r>
            <w:rPr>
              <w:b/>
              <w:bCs/>
              <w:color w:val="00AABE"/>
              <w:sz w:val="32"/>
              <w:szCs w:val="32"/>
              <w:lang w:val="fr-CH"/>
            </w:rPr>
            <w:t>1</w:t>
          </w:r>
          <w:r w:rsidR="00D05DA6" w:rsidRPr="00D05DA6">
            <w:rPr>
              <w:b/>
              <w:bCs/>
              <w:color w:val="00AABE"/>
              <w:sz w:val="32"/>
              <w:szCs w:val="32"/>
              <w:lang w:val="fr-CH"/>
            </w:rPr>
            <w:t>3-</w:t>
          </w:r>
          <w:r>
            <w:rPr>
              <w:b/>
              <w:bCs/>
              <w:color w:val="00AABE"/>
              <w:sz w:val="32"/>
              <w:szCs w:val="32"/>
              <w:lang w:val="fr-CH"/>
            </w:rPr>
            <w:t>1</w:t>
          </w:r>
          <w:r w:rsidR="00D05DA6" w:rsidRPr="00D05DA6">
            <w:rPr>
              <w:b/>
              <w:bCs/>
              <w:color w:val="00AABE"/>
              <w:sz w:val="32"/>
              <w:szCs w:val="32"/>
              <w:lang w:val="fr-CH"/>
            </w:rPr>
            <w:t>7 octobre 202</w:t>
          </w:r>
          <w:r>
            <w:rPr>
              <w:b/>
              <w:bCs/>
              <w:color w:val="00AABE"/>
              <w:sz w:val="32"/>
              <w:szCs w:val="32"/>
              <w:lang w:val="fr-CH"/>
            </w:rPr>
            <w:t>4</w:t>
          </w:r>
        </w:p>
      </w:tc>
      <w:tc>
        <w:tcPr>
          <w:tcW w:w="2450" w:type="dxa"/>
          <w:vAlign w:val="center"/>
        </w:tcPr>
        <w:p w14:paraId="3F874EFA" w14:textId="5E981F02" w:rsidR="00D05DA6" w:rsidRPr="00D05DA6" w:rsidRDefault="002000FE" w:rsidP="00D05DA6">
          <w:pPr>
            <w:keepNext/>
            <w:keepLines/>
            <w:tabs>
              <w:tab w:val="clear" w:pos="-142"/>
              <w:tab w:val="clear" w:pos="0"/>
              <w:tab w:val="left" w:pos="33"/>
            </w:tabs>
            <w:spacing w:before="40"/>
            <w:ind w:left="33" w:right="176"/>
            <w:jc w:val="center"/>
            <w:outlineLvl w:val="0"/>
            <w:rPr>
              <w:rFonts w:eastAsia="MS Mincho"/>
              <w:b/>
              <w:color w:val="00979B"/>
              <w:lang w:val="fr-CH"/>
            </w:rPr>
          </w:pPr>
          <w:r>
            <w:rPr>
              <w:noProof/>
            </w:rPr>
            <w:drawing>
              <wp:inline distT="0" distB="0" distL="0" distR="0" wp14:anchorId="0CEA6A8B" wp14:editId="5BEF431A">
                <wp:extent cx="1365663" cy="1417687"/>
                <wp:effectExtent l="0" t="0" r="635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"/>
                        <a:srcRect l="39955" t="20403" r="24115" b="19924"/>
                        <a:stretch/>
                      </pic:blipFill>
                      <pic:spPr bwMode="auto">
                        <a:xfrm>
                          <a:off x="0" y="0"/>
                          <a:ext cx="1396621" cy="1449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B6DDF5E" w14:textId="77777777" w:rsidR="00D05DA6" w:rsidRPr="00BF36BD" w:rsidRDefault="00D05DA6" w:rsidP="0074161A">
    <w:pPr>
      <w:pStyle w:val="En-tte"/>
      <w:tabs>
        <w:tab w:val="clear" w:pos="4320"/>
        <w:tab w:val="clear" w:pos="8640"/>
      </w:tabs>
      <w:jc w:val="cent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10905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A79D33" w14:textId="77777777" w:rsidR="00FF5F89" w:rsidRPr="000F2F4C" w:rsidRDefault="00FF5F89" w:rsidP="00FF5F89">
        <w:pPr>
          <w:pStyle w:val="En-tte"/>
          <w:tabs>
            <w:tab w:val="left" w:pos="7371"/>
          </w:tabs>
        </w:pPr>
        <w:r w:rsidRPr="000F2F4C">
          <w:rPr>
            <w:noProof/>
          </w:rPr>
          <w:tab/>
        </w:r>
        <w:r w:rsidRPr="000F2F4C">
          <w:t xml:space="preserve">- </w:t>
        </w:r>
        <w:r w:rsidRPr="000F2F4C">
          <w:fldChar w:fldCharType="begin"/>
        </w:r>
        <w:r w:rsidRPr="000F2F4C">
          <w:instrText xml:space="preserve"> PAGE   \* MERGEFORMAT </w:instrText>
        </w:r>
        <w:r w:rsidRPr="000F2F4C">
          <w:fldChar w:fldCharType="separate"/>
        </w:r>
        <w:r>
          <w:t>2</w:t>
        </w:r>
        <w:r w:rsidRPr="000F2F4C">
          <w:rPr>
            <w:noProof/>
          </w:rPr>
          <w:fldChar w:fldCharType="end"/>
        </w:r>
        <w:r w:rsidRPr="000F2F4C">
          <w:rPr>
            <w:noProof/>
          </w:rPr>
          <w:t xml:space="preserve"> -</w:t>
        </w:r>
        <w:r w:rsidRPr="000F2F4C">
          <w:rPr>
            <w:noProof/>
          </w:rPr>
          <w:tab/>
          <w:t>C-III/149/DR</w:t>
        </w:r>
      </w:p>
    </w:sdtContent>
  </w:sdt>
  <w:p w14:paraId="097194ED" w14:textId="77777777" w:rsidR="00FF5F89" w:rsidRPr="00BF36BD" w:rsidRDefault="00FF5F89" w:rsidP="0074161A">
    <w:pPr>
      <w:pStyle w:val="En-tte"/>
      <w:tabs>
        <w:tab w:val="clear" w:pos="4320"/>
        <w:tab w:val="clear" w:pos="8640"/>
      </w:tabs>
      <w:jc w:val="cent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39C7"/>
    <w:multiLevelType w:val="hybridMultilevel"/>
    <w:tmpl w:val="8892EB66"/>
    <w:lvl w:ilvl="0" w:tplc="040C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1" w15:restartNumberingAfterBreak="0">
    <w:nsid w:val="37865D67"/>
    <w:multiLevelType w:val="hybridMultilevel"/>
    <w:tmpl w:val="6FD0F01E"/>
    <w:lvl w:ilvl="0" w:tplc="410013D8">
      <w:start w:val="1"/>
      <w:numFmt w:val="decimal"/>
      <w:lvlText w:val="%1."/>
      <w:lvlJc w:val="left"/>
      <w:pPr>
        <w:ind w:left="1800" w:hanging="360"/>
      </w:pPr>
      <w:rPr>
        <w:b/>
        <w:color w:val="00979B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8C22003"/>
    <w:multiLevelType w:val="multilevel"/>
    <w:tmpl w:val="5F4A21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459CF"/>
    <w:multiLevelType w:val="hybridMultilevel"/>
    <w:tmpl w:val="5F4A21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C1E19"/>
    <w:multiLevelType w:val="hybridMultilevel"/>
    <w:tmpl w:val="C20829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BE53E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923754">
    <w:abstractNumId w:val="1"/>
  </w:num>
  <w:num w:numId="2" w16cid:durableId="632171636">
    <w:abstractNumId w:val="3"/>
  </w:num>
  <w:num w:numId="3" w16cid:durableId="1799764847">
    <w:abstractNumId w:val="4"/>
  </w:num>
  <w:num w:numId="4" w16cid:durableId="190263319">
    <w:abstractNumId w:val="2"/>
  </w:num>
  <w:num w:numId="5" w16cid:durableId="1588003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155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F7"/>
    <w:rsid w:val="000029AE"/>
    <w:rsid w:val="0001419C"/>
    <w:rsid w:val="00024D06"/>
    <w:rsid w:val="00051412"/>
    <w:rsid w:val="000701CE"/>
    <w:rsid w:val="00071760"/>
    <w:rsid w:val="00073FF6"/>
    <w:rsid w:val="00082D99"/>
    <w:rsid w:val="000845EA"/>
    <w:rsid w:val="000846C0"/>
    <w:rsid w:val="00084EB8"/>
    <w:rsid w:val="00085319"/>
    <w:rsid w:val="000B42D4"/>
    <w:rsid w:val="00106458"/>
    <w:rsid w:val="00151616"/>
    <w:rsid w:val="0015745B"/>
    <w:rsid w:val="00173C60"/>
    <w:rsid w:val="00174281"/>
    <w:rsid w:val="0019692C"/>
    <w:rsid w:val="001A067E"/>
    <w:rsid w:val="001A4F27"/>
    <w:rsid w:val="001A62DE"/>
    <w:rsid w:val="001C6DE0"/>
    <w:rsid w:val="002000FE"/>
    <w:rsid w:val="00200FA5"/>
    <w:rsid w:val="002061A0"/>
    <w:rsid w:val="00231CF6"/>
    <w:rsid w:val="00233076"/>
    <w:rsid w:val="00246E07"/>
    <w:rsid w:val="00257E58"/>
    <w:rsid w:val="002645CC"/>
    <w:rsid w:val="002A4E21"/>
    <w:rsid w:val="002C77C0"/>
    <w:rsid w:val="002E2DCA"/>
    <w:rsid w:val="00342F4B"/>
    <w:rsid w:val="003604DD"/>
    <w:rsid w:val="0036375F"/>
    <w:rsid w:val="003C0142"/>
    <w:rsid w:val="003C625F"/>
    <w:rsid w:val="004103F0"/>
    <w:rsid w:val="0044259F"/>
    <w:rsid w:val="00447725"/>
    <w:rsid w:val="0045181F"/>
    <w:rsid w:val="00466408"/>
    <w:rsid w:val="004C1DA9"/>
    <w:rsid w:val="004C61CE"/>
    <w:rsid w:val="004F3B60"/>
    <w:rsid w:val="005043A6"/>
    <w:rsid w:val="0052476A"/>
    <w:rsid w:val="005266EE"/>
    <w:rsid w:val="005429BF"/>
    <w:rsid w:val="00553B44"/>
    <w:rsid w:val="0055781E"/>
    <w:rsid w:val="00557B85"/>
    <w:rsid w:val="0058195B"/>
    <w:rsid w:val="00585E6F"/>
    <w:rsid w:val="00587DFF"/>
    <w:rsid w:val="00593658"/>
    <w:rsid w:val="005B45F3"/>
    <w:rsid w:val="005C03CC"/>
    <w:rsid w:val="005C726F"/>
    <w:rsid w:val="005F2F4D"/>
    <w:rsid w:val="006035B9"/>
    <w:rsid w:val="006371EC"/>
    <w:rsid w:val="00642EF9"/>
    <w:rsid w:val="00663917"/>
    <w:rsid w:val="006660F9"/>
    <w:rsid w:val="00675618"/>
    <w:rsid w:val="0069623A"/>
    <w:rsid w:val="006A4710"/>
    <w:rsid w:val="006A60D7"/>
    <w:rsid w:val="006C322B"/>
    <w:rsid w:val="006F55BB"/>
    <w:rsid w:val="00740EF4"/>
    <w:rsid w:val="0074161A"/>
    <w:rsid w:val="00751E63"/>
    <w:rsid w:val="0075238F"/>
    <w:rsid w:val="007623D7"/>
    <w:rsid w:val="00797096"/>
    <w:rsid w:val="007A34A1"/>
    <w:rsid w:val="007B4DE3"/>
    <w:rsid w:val="007B668D"/>
    <w:rsid w:val="007E1410"/>
    <w:rsid w:val="00802A90"/>
    <w:rsid w:val="00802CE3"/>
    <w:rsid w:val="00835A6B"/>
    <w:rsid w:val="008621F7"/>
    <w:rsid w:val="0086235F"/>
    <w:rsid w:val="00864BD0"/>
    <w:rsid w:val="00880259"/>
    <w:rsid w:val="008923B6"/>
    <w:rsid w:val="008B263B"/>
    <w:rsid w:val="008B4DE3"/>
    <w:rsid w:val="008C1AD7"/>
    <w:rsid w:val="008D46F5"/>
    <w:rsid w:val="008E5276"/>
    <w:rsid w:val="00906CBF"/>
    <w:rsid w:val="00963D32"/>
    <w:rsid w:val="00965C65"/>
    <w:rsid w:val="00980FB9"/>
    <w:rsid w:val="00985832"/>
    <w:rsid w:val="00993880"/>
    <w:rsid w:val="009B20DA"/>
    <w:rsid w:val="009C20EB"/>
    <w:rsid w:val="009C7898"/>
    <w:rsid w:val="00A520EB"/>
    <w:rsid w:val="00A542AA"/>
    <w:rsid w:val="00A67C49"/>
    <w:rsid w:val="00A91815"/>
    <w:rsid w:val="00AE618B"/>
    <w:rsid w:val="00B53E0E"/>
    <w:rsid w:val="00B55557"/>
    <w:rsid w:val="00B60519"/>
    <w:rsid w:val="00B8337B"/>
    <w:rsid w:val="00B87579"/>
    <w:rsid w:val="00BA07D0"/>
    <w:rsid w:val="00BA4504"/>
    <w:rsid w:val="00BC480A"/>
    <w:rsid w:val="00BF36BD"/>
    <w:rsid w:val="00C50102"/>
    <w:rsid w:val="00C94813"/>
    <w:rsid w:val="00CA7D2F"/>
    <w:rsid w:val="00CB0A1D"/>
    <w:rsid w:val="00CE0758"/>
    <w:rsid w:val="00CF35D6"/>
    <w:rsid w:val="00CF5B66"/>
    <w:rsid w:val="00D04559"/>
    <w:rsid w:val="00D05DA6"/>
    <w:rsid w:val="00D5487E"/>
    <w:rsid w:val="00D75711"/>
    <w:rsid w:val="00DA1A66"/>
    <w:rsid w:val="00DC4F64"/>
    <w:rsid w:val="00DD6B6F"/>
    <w:rsid w:val="00DE57EC"/>
    <w:rsid w:val="00DF13FE"/>
    <w:rsid w:val="00E132A5"/>
    <w:rsid w:val="00E446B8"/>
    <w:rsid w:val="00E5299C"/>
    <w:rsid w:val="00E57F16"/>
    <w:rsid w:val="00EC3542"/>
    <w:rsid w:val="00EC79CB"/>
    <w:rsid w:val="00F021F6"/>
    <w:rsid w:val="00F2622E"/>
    <w:rsid w:val="00F35B8A"/>
    <w:rsid w:val="00F72D00"/>
    <w:rsid w:val="00FA0987"/>
    <w:rsid w:val="00FA2844"/>
    <w:rsid w:val="00FA32C3"/>
    <w:rsid w:val="00FC5D6C"/>
    <w:rsid w:val="00FF5F89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70B583DC"/>
  <w14:defaultImageDpi w14:val="300"/>
  <w15:docId w15:val="{D2F649A7-AB11-6B4E-8739-2590017E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898"/>
    <w:pPr>
      <w:tabs>
        <w:tab w:val="left" w:pos="-142"/>
        <w:tab w:val="left" w:pos="0"/>
      </w:tabs>
    </w:pPr>
    <w:rPr>
      <w:rFonts w:ascii="Arial" w:hAnsi="Arial" w:cs="Arial"/>
      <w:sz w:val="20"/>
      <w:szCs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85E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23D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623D7"/>
  </w:style>
  <w:style w:type="paragraph" w:styleId="Pieddepage">
    <w:name w:val="footer"/>
    <w:basedOn w:val="Normal"/>
    <w:link w:val="PieddepageCar"/>
    <w:uiPriority w:val="99"/>
    <w:unhideWhenUsed/>
    <w:rsid w:val="007623D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23D7"/>
  </w:style>
  <w:style w:type="table" w:styleId="Trameclaire-Accent1">
    <w:name w:val="Light Shading Accent 1"/>
    <w:basedOn w:val="TableauNormal"/>
    <w:uiPriority w:val="60"/>
    <w:rsid w:val="007623D7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4C1DA9"/>
    <w:pPr>
      <w:spacing w:before="100" w:beforeAutospacing="1" w:after="100" w:afterAutospacing="1"/>
    </w:pPr>
    <w:rPr>
      <w:rFonts w:ascii="Times" w:hAnsi="Times" w:cs="Times New Roman"/>
      <w:lang w:val="en-US"/>
    </w:rPr>
  </w:style>
  <w:style w:type="paragraph" w:styleId="Paragraphedeliste">
    <w:name w:val="List Paragraph"/>
    <w:basedOn w:val="Normal"/>
    <w:uiPriority w:val="34"/>
    <w:qFormat/>
    <w:rsid w:val="00257E5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63D3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3D32"/>
    <w:rPr>
      <w:rFonts w:ascii="Lucida Grande" w:hAnsi="Lucida Grande" w:cs="Lucida Grande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342F4B"/>
  </w:style>
  <w:style w:type="table" w:styleId="Grilledutableau">
    <w:name w:val="Table Grid"/>
    <w:basedOn w:val="TableauNormal"/>
    <w:uiPriority w:val="59"/>
    <w:rsid w:val="00447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585E6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/>
    </w:rPr>
  </w:style>
  <w:style w:type="paragraph" w:styleId="Rvision">
    <w:name w:val="Revision"/>
    <w:hidden/>
    <w:uiPriority w:val="99"/>
    <w:semiHidden/>
    <w:rsid w:val="00EC3542"/>
    <w:rPr>
      <w:rFonts w:ascii="Arial" w:hAnsi="Arial" w:cs="Arial"/>
      <w:sz w:val="20"/>
      <w:szCs w:val="20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425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4259F"/>
  </w:style>
  <w:style w:type="character" w:customStyle="1" w:styleId="CommentaireCar">
    <w:name w:val="Commentaire Car"/>
    <w:basedOn w:val="Policepardfaut"/>
    <w:link w:val="Commentaire"/>
    <w:uiPriority w:val="99"/>
    <w:rsid w:val="0044259F"/>
    <w:rPr>
      <w:rFonts w:ascii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25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259F"/>
    <w:rPr>
      <w:rFonts w:ascii="Arial" w:hAnsi="Arial" w:cs="Arial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0FE369F448C48A3347038D18EFD0B" ma:contentTypeVersion="2" ma:contentTypeDescription="Create a new document." ma:contentTypeScope="" ma:versionID="6bb1b66cbf59773682ab3131ef598fc7">
  <xsd:schema xmlns:xsd="http://www.w3.org/2001/XMLSchema" xmlns:xs="http://www.w3.org/2001/XMLSchema" xmlns:p="http://schemas.microsoft.com/office/2006/metadata/properties" xmlns:ns2="793d8a23-fb4a-404c-8f20-5db9a0662cc5" targetNamespace="http://schemas.microsoft.com/office/2006/metadata/properties" ma:root="true" ma:fieldsID="284bb526605233663960c75969874049" ns2:_="">
    <xsd:import namespace="793d8a23-fb4a-404c-8f20-5db9a0662c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d8a23-fb4a-404c-8f20-5db9a0662c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EB2BC1-5AB4-4CE0-9B2F-EBBC8139F19B}">
  <ds:schemaRefs>
    <ds:schemaRef ds:uri="http://schemas.microsoft.com/office/infopath/2007/PartnerControls"/>
    <ds:schemaRef ds:uri="793d8a23-fb4a-404c-8f20-5db9a0662cc5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BE693F5-9A55-4C54-B51E-A609DF4C3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CCA869-3E79-954D-B224-D5447A4718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4DA32A-6112-40F3-8857-AD0B62538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d8a23-fb4a-404c-8f20-5db9a0662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661</Words>
  <Characters>3639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YR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Emilie Vulpillière</cp:lastModifiedBy>
  <cp:revision>53</cp:revision>
  <cp:lastPrinted>2022-11-16T14:30:00Z</cp:lastPrinted>
  <dcterms:created xsi:type="dcterms:W3CDTF">2024-05-27T12:00:00Z</dcterms:created>
  <dcterms:modified xsi:type="dcterms:W3CDTF">2024-08-05T09:03:00Z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0x010100F920FE369F448C48A3347038D18EFD0B</vt:lpwstr>
  </property>
</Properties>
</file>