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0366" w14:textId="6F6A2E5C" w:rsidR="009F12AC" w:rsidRPr="00625F77" w:rsidRDefault="009F12AC" w:rsidP="007C599E">
      <w:pPr>
        <w:tabs>
          <w:tab w:val="left" w:pos="7088"/>
        </w:tabs>
        <w:spacing w:after="0" w:line="240" w:lineRule="auto"/>
        <w:rPr>
          <w:rFonts w:ascii="Arial" w:eastAsia="MS Mincho" w:hAnsi="Arial" w:cs="Arial"/>
          <w:sz w:val="20"/>
          <w:szCs w:val="20"/>
        </w:rPr>
      </w:pPr>
      <w:bookmarkStart w:id="0" w:name="_Hlk155183948"/>
      <w:r w:rsidRPr="00625F77">
        <w:rPr>
          <w:rFonts w:ascii="Arial" w:hAnsi="Arial" w:cs="Arial"/>
          <w:sz w:val="20"/>
          <w:szCs w:val="20"/>
          <w:lang w:eastAsia="fr-FR"/>
        </w:rPr>
        <w:t>Commission permanente</w:t>
      </w:r>
      <w:r w:rsidRPr="00625F77">
        <w:rPr>
          <w:rFonts w:ascii="Arial" w:hAnsi="Arial" w:cs="Arial"/>
          <w:sz w:val="20"/>
          <w:szCs w:val="20"/>
          <w:lang w:eastAsia="fr-FR"/>
        </w:rPr>
        <w:tab/>
        <w:t>C-I/150/DR</w:t>
      </w:r>
    </w:p>
    <w:p w14:paraId="0637290A" w14:textId="7E3BE5F1" w:rsidR="009F12AC" w:rsidRPr="00625F77" w:rsidRDefault="009F12AC" w:rsidP="007C599E">
      <w:pPr>
        <w:tabs>
          <w:tab w:val="left" w:pos="7088"/>
        </w:tabs>
        <w:spacing w:after="0" w:line="240" w:lineRule="auto"/>
        <w:rPr>
          <w:rFonts w:ascii="Arial" w:hAnsi="Arial" w:cs="Arial"/>
          <w:sz w:val="20"/>
          <w:szCs w:val="20"/>
          <w:lang w:eastAsia="fr-FR"/>
        </w:rPr>
      </w:pPr>
      <w:proofErr w:type="gramStart"/>
      <w:r w:rsidRPr="00625F77">
        <w:rPr>
          <w:rFonts w:ascii="Arial" w:hAnsi="Arial" w:cs="Arial"/>
          <w:sz w:val="20"/>
          <w:szCs w:val="20"/>
          <w:lang w:eastAsia="fr-FR"/>
        </w:rPr>
        <w:t>de</w:t>
      </w:r>
      <w:proofErr w:type="gramEnd"/>
      <w:r w:rsidRPr="00625F77">
        <w:rPr>
          <w:rFonts w:ascii="Arial" w:hAnsi="Arial" w:cs="Arial"/>
          <w:sz w:val="20"/>
          <w:szCs w:val="20"/>
          <w:lang w:eastAsia="fr-FR"/>
        </w:rPr>
        <w:t xml:space="preserve"> la paix et de la sécurité internationale</w:t>
      </w:r>
      <w:r w:rsidRPr="00625F77">
        <w:rPr>
          <w:rFonts w:ascii="Arial" w:hAnsi="Arial" w:cs="Arial"/>
          <w:sz w:val="20"/>
          <w:szCs w:val="20"/>
          <w:lang w:eastAsia="fr-FR"/>
        </w:rPr>
        <w:tab/>
      </w:r>
      <w:r w:rsidR="00BC2C15">
        <w:rPr>
          <w:rFonts w:ascii="Arial" w:hAnsi="Arial" w:cs="Arial"/>
          <w:sz w:val="20"/>
          <w:szCs w:val="20"/>
        </w:rPr>
        <w:t>13</w:t>
      </w:r>
      <w:r w:rsidRPr="00625F77">
        <w:rPr>
          <w:rFonts w:ascii="Arial" w:hAnsi="Arial" w:cs="Arial"/>
          <w:sz w:val="20"/>
          <w:szCs w:val="20"/>
        </w:rPr>
        <w:t xml:space="preserve"> janvier 2025</w:t>
      </w:r>
    </w:p>
    <w:p w14:paraId="0D2E14F7" w14:textId="77777777" w:rsidR="009F12AC" w:rsidRPr="00625F77" w:rsidRDefault="009F12AC" w:rsidP="007C599E">
      <w:pPr>
        <w:pStyle w:val="Default"/>
        <w:jc w:val="center"/>
        <w:rPr>
          <w:b/>
          <w:i/>
          <w:lang w:val="fr-FR"/>
        </w:rPr>
      </w:pPr>
    </w:p>
    <w:p w14:paraId="3BE70147" w14:textId="77777777" w:rsidR="009F12AC" w:rsidRPr="00625F77" w:rsidRDefault="009F12AC" w:rsidP="007C599E">
      <w:pPr>
        <w:tabs>
          <w:tab w:val="left" w:pos="-142"/>
          <w:tab w:val="left" w:pos="0"/>
        </w:tabs>
        <w:spacing w:after="0" w:line="240" w:lineRule="auto"/>
        <w:jc w:val="center"/>
        <w:rPr>
          <w:rFonts w:ascii="Arial" w:hAnsi="Arial" w:cs="Arial"/>
          <w:b/>
          <w:bCs/>
          <w:color w:val="005F9A"/>
          <w:sz w:val="36"/>
          <w:szCs w:val="36"/>
        </w:rPr>
      </w:pPr>
      <w:r w:rsidRPr="00625F77">
        <w:rPr>
          <w:rFonts w:ascii="Arial" w:hAnsi="Arial" w:cs="Arial"/>
          <w:b/>
          <w:bCs/>
          <w:color w:val="005F9A"/>
          <w:sz w:val="36"/>
          <w:szCs w:val="36"/>
        </w:rPr>
        <w:t>Le rôle des parlements dans la promotion d'une solution à deux États en Palestine</w:t>
      </w:r>
    </w:p>
    <w:p w14:paraId="76ACCB74" w14:textId="77777777" w:rsidR="0099409A" w:rsidRPr="00625F77" w:rsidRDefault="0099409A" w:rsidP="007C599E">
      <w:pPr>
        <w:pStyle w:val="Default"/>
        <w:rPr>
          <w:rFonts w:ascii="Arial" w:hAnsi="Arial" w:cs="Arial"/>
          <w:sz w:val="20"/>
          <w:szCs w:val="20"/>
          <w:lang w:val="fr-FR"/>
        </w:rPr>
      </w:pPr>
    </w:p>
    <w:p w14:paraId="5E061B46" w14:textId="65E9115A" w:rsidR="0099409A" w:rsidRPr="00625F77" w:rsidRDefault="00D06BC2" w:rsidP="007C599E">
      <w:pPr>
        <w:spacing w:after="0" w:line="240" w:lineRule="auto"/>
        <w:jc w:val="center"/>
        <w:outlineLvl w:val="0"/>
        <w:rPr>
          <w:rFonts w:ascii="Arial" w:hAnsi="Arial" w:cs="Arial"/>
          <w:b/>
          <w:i/>
          <w:sz w:val="20"/>
          <w:szCs w:val="20"/>
        </w:rPr>
      </w:pPr>
      <w:r w:rsidRPr="00625F77">
        <w:rPr>
          <w:rFonts w:ascii="Arial" w:hAnsi="Arial" w:cs="Arial"/>
          <w:b/>
          <w:i/>
          <w:sz w:val="20"/>
          <w:szCs w:val="20"/>
          <w:u w:val="single"/>
        </w:rPr>
        <w:t xml:space="preserve">Projet de </w:t>
      </w:r>
      <w:r w:rsidR="00656ECD" w:rsidRPr="00625F77">
        <w:rPr>
          <w:rFonts w:ascii="Arial" w:hAnsi="Arial" w:cs="Arial"/>
          <w:b/>
          <w:i/>
          <w:sz w:val="20"/>
          <w:szCs w:val="20"/>
          <w:u w:val="single"/>
        </w:rPr>
        <w:t>résolution</w:t>
      </w:r>
      <w:r w:rsidRPr="00625F77">
        <w:rPr>
          <w:rFonts w:ascii="Arial" w:hAnsi="Arial" w:cs="Arial"/>
          <w:b/>
          <w:i/>
          <w:sz w:val="20"/>
          <w:szCs w:val="20"/>
        </w:rPr>
        <w:t xml:space="preserve"> présenté par les </w:t>
      </w:r>
      <w:proofErr w:type="spellStart"/>
      <w:r w:rsidRPr="00625F77">
        <w:rPr>
          <w:rFonts w:ascii="Arial" w:hAnsi="Arial" w:cs="Arial"/>
          <w:b/>
          <w:i/>
          <w:sz w:val="20"/>
          <w:szCs w:val="20"/>
        </w:rPr>
        <w:t>co-r</w:t>
      </w:r>
      <w:r w:rsidR="0099409A" w:rsidRPr="00625F77">
        <w:rPr>
          <w:rFonts w:ascii="Arial" w:hAnsi="Arial" w:cs="Arial"/>
          <w:b/>
          <w:i/>
          <w:sz w:val="20"/>
          <w:szCs w:val="20"/>
        </w:rPr>
        <w:t>apporteurs</w:t>
      </w:r>
      <w:proofErr w:type="spellEnd"/>
    </w:p>
    <w:p w14:paraId="109B5EE9" w14:textId="372594A6" w:rsidR="00855326" w:rsidRPr="00625F77" w:rsidRDefault="009B1D00" w:rsidP="007C599E">
      <w:pPr>
        <w:spacing w:after="0" w:line="240" w:lineRule="auto"/>
        <w:jc w:val="center"/>
        <w:outlineLvl w:val="0"/>
        <w:rPr>
          <w:rFonts w:ascii="Arial" w:hAnsi="Arial" w:cs="Arial"/>
          <w:b/>
          <w:i/>
          <w:sz w:val="20"/>
          <w:szCs w:val="20"/>
        </w:rPr>
      </w:pPr>
      <w:r w:rsidRPr="00625F77">
        <w:rPr>
          <w:rFonts w:ascii="Arial" w:hAnsi="Arial" w:cs="Arial"/>
          <w:b/>
          <w:i/>
          <w:sz w:val="20"/>
          <w:szCs w:val="20"/>
        </w:rPr>
        <w:t xml:space="preserve">M. M.A. </w:t>
      </w:r>
      <w:proofErr w:type="spellStart"/>
      <w:r w:rsidRPr="00625F77">
        <w:rPr>
          <w:rFonts w:ascii="Arial" w:hAnsi="Arial" w:cs="Arial"/>
          <w:b/>
          <w:i/>
          <w:sz w:val="20"/>
          <w:szCs w:val="20"/>
        </w:rPr>
        <w:t>Bouchouit</w:t>
      </w:r>
      <w:proofErr w:type="spellEnd"/>
      <w:r w:rsidRPr="00625F77">
        <w:rPr>
          <w:rFonts w:ascii="Arial" w:hAnsi="Arial" w:cs="Arial"/>
          <w:b/>
          <w:i/>
          <w:sz w:val="20"/>
          <w:szCs w:val="20"/>
        </w:rPr>
        <w:t xml:space="preserve"> (Algérie), Mme T. </w:t>
      </w:r>
      <w:proofErr w:type="spellStart"/>
      <w:r w:rsidRPr="00625F77">
        <w:rPr>
          <w:rFonts w:ascii="Arial" w:hAnsi="Arial" w:cs="Arial"/>
          <w:b/>
          <w:i/>
          <w:sz w:val="20"/>
          <w:szCs w:val="20"/>
        </w:rPr>
        <w:t>Vardanyan</w:t>
      </w:r>
      <w:proofErr w:type="spellEnd"/>
      <w:r w:rsidRPr="00625F77">
        <w:rPr>
          <w:rFonts w:ascii="Arial" w:hAnsi="Arial" w:cs="Arial"/>
          <w:b/>
          <w:i/>
          <w:sz w:val="20"/>
          <w:szCs w:val="20"/>
        </w:rPr>
        <w:t xml:space="preserve"> (Arménie), M. J. </w:t>
      </w:r>
      <w:proofErr w:type="spellStart"/>
      <w:r w:rsidRPr="00625F77">
        <w:rPr>
          <w:rFonts w:ascii="Arial" w:hAnsi="Arial" w:cs="Arial"/>
          <w:b/>
          <w:i/>
          <w:sz w:val="20"/>
          <w:szCs w:val="20"/>
        </w:rPr>
        <w:t>Buttimer</w:t>
      </w:r>
      <w:proofErr w:type="spellEnd"/>
      <w:r w:rsidRPr="00625F77">
        <w:rPr>
          <w:rFonts w:ascii="Arial" w:hAnsi="Arial" w:cs="Arial"/>
          <w:b/>
          <w:i/>
          <w:sz w:val="20"/>
          <w:szCs w:val="20"/>
        </w:rPr>
        <w:t xml:space="preserve"> (Irlande), </w:t>
      </w:r>
      <w:r w:rsidRPr="00625F77">
        <w:rPr>
          <w:rFonts w:ascii="Arial" w:hAnsi="Arial" w:cs="Arial"/>
          <w:b/>
          <w:i/>
          <w:sz w:val="20"/>
          <w:szCs w:val="20"/>
        </w:rPr>
        <w:br/>
        <w:t xml:space="preserve">Mme T. </w:t>
      </w:r>
      <w:proofErr w:type="spellStart"/>
      <w:r w:rsidRPr="00625F77">
        <w:rPr>
          <w:rFonts w:ascii="Arial" w:hAnsi="Arial" w:cs="Arial"/>
          <w:b/>
          <w:i/>
          <w:sz w:val="20"/>
          <w:szCs w:val="20"/>
        </w:rPr>
        <w:t>Ts’ita-Mosena</w:t>
      </w:r>
      <w:proofErr w:type="spellEnd"/>
      <w:r w:rsidRPr="00625F77">
        <w:rPr>
          <w:rFonts w:ascii="Arial" w:hAnsi="Arial" w:cs="Arial"/>
          <w:b/>
          <w:i/>
          <w:sz w:val="20"/>
          <w:szCs w:val="20"/>
        </w:rPr>
        <w:t xml:space="preserve"> (Lesotho), Mme M. Guerra</w:t>
      </w:r>
      <w:r w:rsidR="00BC0E00">
        <w:rPr>
          <w:rFonts w:ascii="Arial" w:hAnsi="Arial" w:cs="Arial"/>
          <w:b/>
          <w:i/>
          <w:sz w:val="20"/>
          <w:szCs w:val="20"/>
        </w:rPr>
        <w:t xml:space="preserve"> Castillo</w:t>
      </w:r>
      <w:r w:rsidRPr="00625F77">
        <w:rPr>
          <w:rFonts w:ascii="Arial" w:hAnsi="Arial" w:cs="Arial"/>
          <w:b/>
          <w:i/>
          <w:sz w:val="20"/>
          <w:szCs w:val="20"/>
        </w:rPr>
        <w:t xml:space="preserve"> (Mexique) </w:t>
      </w:r>
      <w:r w:rsidR="00BC0E00">
        <w:rPr>
          <w:rFonts w:ascii="Arial" w:hAnsi="Arial" w:cs="Arial"/>
          <w:b/>
          <w:i/>
          <w:sz w:val="20"/>
          <w:szCs w:val="20"/>
        </w:rPr>
        <w:br/>
      </w:r>
      <w:r w:rsidRPr="00625F77">
        <w:rPr>
          <w:rFonts w:ascii="Arial" w:hAnsi="Arial" w:cs="Arial"/>
          <w:b/>
          <w:i/>
          <w:sz w:val="20"/>
          <w:szCs w:val="20"/>
        </w:rPr>
        <w:t xml:space="preserve">et M. T. </w:t>
      </w:r>
      <w:proofErr w:type="spellStart"/>
      <w:r w:rsidRPr="00625F77">
        <w:rPr>
          <w:rFonts w:ascii="Arial" w:hAnsi="Arial" w:cs="Arial"/>
          <w:b/>
          <w:i/>
          <w:sz w:val="20"/>
          <w:szCs w:val="20"/>
        </w:rPr>
        <w:t>Utikere</w:t>
      </w:r>
      <w:proofErr w:type="spellEnd"/>
      <w:r w:rsidRPr="00625F77">
        <w:rPr>
          <w:rFonts w:ascii="Arial" w:hAnsi="Arial" w:cs="Arial"/>
          <w:b/>
          <w:i/>
          <w:sz w:val="20"/>
          <w:szCs w:val="20"/>
        </w:rPr>
        <w:t xml:space="preserve"> (Nouvelle-Zélande)</w:t>
      </w:r>
    </w:p>
    <w:bookmarkEnd w:id="0"/>
    <w:p w14:paraId="5C1D47A4" w14:textId="77777777" w:rsidR="009B1D00" w:rsidRPr="00625F77" w:rsidRDefault="009B1D00" w:rsidP="007C599E">
      <w:pPr>
        <w:tabs>
          <w:tab w:val="left" w:pos="1134"/>
        </w:tabs>
        <w:spacing w:after="0" w:line="240" w:lineRule="auto"/>
        <w:jc w:val="both"/>
        <w:rPr>
          <w:rFonts w:ascii="Arial" w:eastAsia="Times New Roman" w:hAnsi="Arial" w:cs="Arial"/>
          <w:color w:val="000000"/>
          <w:sz w:val="18"/>
          <w:szCs w:val="18"/>
          <w:lang w:eastAsia="ko-KR"/>
        </w:rPr>
      </w:pPr>
    </w:p>
    <w:p w14:paraId="3394BA28" w14:textId="74FE555A" w:rsidR="001B6239" w:rsidRPr="00625F77" w:rsidRDefault="0099409A" w:rsidP="007C599E">
      <w:pPr>
        <w:tabs>
          <w:tab w:val="left" w:pos="1134"/>
        </w:tabs>
        <w:spacing w:after="0" w:line="240" w:lineRule="auto"/>
        <w:jc w:val="both"/>
        <w:rPr>
          <w:rFonts w:ascii="Arial" w:hAnsi="Arial" w:cs="Arial"/>
          <w:sz w:val="20"/>
          <w:szCs w:val="20"/>
        </w:rPr>
      </w:pPr>
      <w:r w:rsidRPr="00625F77">
        <w:rPr>
          <w:rFonts w:ascii="Arial" w:hAnsi="Arial" w:cs="Arial"/>
          <w:sz w:val="20"/>
          <w:szCs w:val="20"/>
        </w:rPr>
        <w:tab/>
      </w:r>
      <w:r w:rsidR="00D06BC2" w:rsidRPr="00625F77">
        <w:rPr>
          <w:rFonts w:ascii="Arial" w:hAnsi="Arial" w:cs="Arial"/>
          <w:sz w:val="20"/>
          <w:szCs w:val="20"/>
        </w:rPr>
        <w:t>La 1</w:t>
      </w:r>
      <w:r w:rsidR="0030238F" w:rsidRPr="00625F77">
        <w:rPr>
          <w:rFonts w:ascii="Arial" w:hAnsi="Arial" w:cs="Arial"/>
          <w:sz w:val="20"/>
          <w:szCs w:val="20"/>
        </w:rPr>
        <w:t>50</w:t>
      </w:r>
      <w:r w:rsidR="00D06BC2" w:rsidRPr="00625F77">
        <w:rPr>
          <w:rFonts w:ascii="Arial" w:hAnsi="Arial" w:cs="Arial"/>
          <w:sz w:val="20"/>
          <w:szCs w:val="20"/>
          <w:vertAlign w:val="superscript"/>
        </w:rPr>
        <w:t>e</w:t>
      </w:r>
      <w:r w:rsidR="00D06BC2" w:rsidRPr="00625F77">
        <w:rPr>
          <w:rFonts w:ascii="Arial" w:hAnsi="Arial" w:cs="Arial"/>
          <w:sz w:val="20"/>
          <w:szCs w:val="20"/>
        </w:rPr>
        <w:t xml:space="preserve"> Assemblée de l'Union interparlementaire</w:t>
      </w:r>
      <w:r w:rsidR="00855326" w:rsidRPr="00625F77">
        <w:rPr>
          <w:rFonts w:ascii="Arial" w:hAnsi="Arial" w:cs="Arial"/>
          <w:sz w:val="20"/>
          <w:szCs w:val="20"/>
        </w:rPr>
        <w:t>,</w:t>
      </w:r>
    </w:p>
    <w:p w14:paraId="2FFF0703" w14:textId="77777777" w:rsidR="00E261D9" w:rsidRPr="00625F77" w:rsidRDefault="00E261D9" w:rsidP="007C599E">
      <w:pPr>
        <w:spacing w:after="0" w:line="240" w:lineRule="auto"/>
        <w:ind w:firstLine="720"/>
        <w:contextualSpacing/>
        <w:rPr>
          <w:rFonts w:ascii="Arial" w:hAnsi="Arial" w:cs="Arial"/>
          <w:i/>
          <w:sz w:val="20"/>
          <w:szCs w:val="20"/>
        </w:rPr>
      </w:pPr>
    </w:p>
    <w:p w14:paraId="715A09D9" w14:textId="77777777" w:rsidR="0020034E" w:rsidRPr="00625F77" w:rsidRDefault="0020034E" w:rsidP="007C599E">
      <w:pPr>
        <w:pStyle w:val="Paragraphedeliste"/>
        <w:tabs>
          <w:tab w:val="left" w:pos="1080"/>
        </w:tabs>
        <w:spacing w:after="0" w:line="240" w:lineRule="auto"/>
        <w:ind w:left="0"/>
        <w:rPr>
          <w:rFonts w:ascii="Arial" w:hAnsi="Arial"/>
          <w:i/>
          <w:iCs/>
          <w:sz w:val="20"/>
          <w:szCs w:val="20"/>
          <w:lang w:val="fr-FR"/>
        </w:rPr>
      </w:pPr>
      <w:r w:rsidRPr="00625F77">
        <w:rPr>
          <w:rFonts w:ascii="Arial" w:hAnsi="Arial"/>
          <w:sz w:val="20"/>
          <w:lang w:val="fr-FR"/>
        </w:rPr>
        <w:t>1)</w:t>
      </w:r>
      <w:r w:rsidRPr="00625F77">
        <w:rPr>
          <w:rFonts w:ascii="Arial" w:hAnsi="Arial"/>
          <w:sz w:val="20"/>
          <w:lang w:val="fr-FR"/>
        </w:rPr>
        <w:tab/>
      </w:r>
      <w:r w:rsidRPr="00625F77">
        <w:rPr>
          <w:rFonts w:ascii="Arial" w:hAnsi="Arial"/>
          <w:i/>
          <w:sz w:val="20"/>
          <w:lang w:val="fr-FR"/>
        </w:rPr>
        <w:t xml:space="preserve">rappelant </w:t>
      </w:r>
      <w:r w:rsidRPr="00625F77">
        <w:rPr>
          <w:rFonts w:ascii="Arial" w:hAnsi="Arial"/>
          <w:sz w:val="20"/>
          <w:lang w:val="fr-FR"/>
        </w:rPr>
        <w:t xml:space="preserve">les résolutions pertinentes du Conseil de sécurité de l'ONU sur le conflit au Moyen-Orient, notamment les résolutions </w:t>
      </w:r>
      <w:hyperlink r:id="rId11" w:history="1">
        <w:r w:rsidRPr="00625F77">
          <w:rPr>
            <w:rStyle w:val="Lienhypertexte"/>
            <w:rFonts w:ascii="Arial" w:hAnsi="Arial"/>
            <w:sz w:val="20"/>
          </w:rPr>
          <w:t>242</w:t>
        </w:r>
      </w:hyperlink>
      <w:r w:rsidRPr="00625F77">
        <w:rPr>
          <w:rFonts w:ascii="Arial" w:hAnsi="Arial"/>
          <w:sz w:val="20"/>
          <w:lang w:val="fr-FR"/>
        </w:rPr>
        <w:t xml:space="preserve"> (1967), </w:t>
      </w:r>
      <w:hyperlink r:id="rId12" w:history="1">
        <w:r w:rsidRPr="00625F77">
          <w:rPr>
            <w:rStyle w:val="Lienhypertexte"/>
            <w:rFonts w:ascii="Arial" w:hAnsi="Arial"/>
            <w:sz w:val="20"/>
          </w:rPr>
          <w:t>338</w:t>
        </w:r>
      </w:hyperlink>
      <w:r w:rsidRPr="00625F77">
        <w:rPr>
          <w:rFonts w:ascii="Arial" w:hAnsi="Arial"/>
          <w:sz w:val="20"/>
          <w:lang w:val="fr-FR"/>
        </w:rPr>
        <w:t xml:space="preserve"> (1973), </w:t>
      </w:r>
      <w:hyperlink r:id="rId13" w:history="1">
        <w:r w:rsidRPr="00625F77">
          <w:rPr>
            <w:rStyle w:val="Lienhypertexte"/>
            <w:rFonts w:ascii="Arial" w:hAnsi="Arial"/>
            <w:sz w:val="20"/>
          </w:rPr>
          <w:t>1397</w:t>
        </w:r>
      </w:hyperlink>
      <w:r w:rsidRPr="00625F77">
        <w:rPr>
          <w:rFonts w:ascii="Arial" w:hAnsi="Arial"/>
          <w:sz w:val="20"/>
          <w:lang w:val="fr-FR"/>
        </w:rPr>
        <w:t xml:space="preserve"> (2002), </w:t>
      </w:r>
      <w:hyperlink r:id="rId14" w:history="1">
        <w:r w:rsidRPr="00625F77">
          <w:rPr>
            <w:rStyle w:val="Lienhypertexte"/>
            <w:rFonts w:ascii="Arial" w:hAnsi="Arial"/>
            <w:sz w:val="20"/>
          </w:rPr>
          <w:t>1515</w:t>
        </w:r>
      </w:hyperlink>
      <w:r w:rsidRPr="00625F77">
        <w:rPr>
          <w:rFonts w:ascii="Arial" w:hAnsi="Arial"/>
          <w:sz w:val="20"/>
          <w:lang w:val="fr-FR"/>
        </w:rPr>
        <w:t xml:space="preserve"> (2003) et </w:t>
      </w:r>
      <w:hyperlink r:id="rId15" w:history="1">
        <w:r w:rsidRPr="00625F77">
          <w:rPr>
            <w:rStyle w:val="Lienhypertexte"/>
            <w:rFonts w:ascii="Arial" w:hAnsi="Arial"/>
            <w:sz w:val="20"/>
          </w:rPr>
          <w:t>2334</w:t>
        </w:r>
      </w:hyperlink>
      <w:r w:rsidRPr="00625F77">
        <w:rPr>
          <w:rFonts w:ascii="Arial" w:hAnsi="Arial"/>
          <w:sz w:val="20"/>
          <w:lang w:val="fr-FR"/>
        </w:rPr>
        <w:t xml:space="preserve"> (2016), qui établissent les principes qui président au règlement de ce conflit, en particulier le caractère inadmissible de l'acquisition d'un territoire par la force, ainsi que celles de l'Assemblée générale des Nations Unies, notamment les résolutions </w:t>
      </w:r>
      <w:hyperlink r:id="rId16" w:history="1">
        <w:r w:rsidRPr="00625F77">
          <w:rPr>
            <w:rStyle w:val="Lienhypertexte"/>
            <w:rFonts w:ascii="Arial" w:hAnsi="Arial"/>
            <w:sz w:val="20"/>
          </w:rPr>
          <w:t>181 (II)</w:t>
        </w:r>
      </w:hyperlink>
      <w:r w:rsidRPr="00625F77">
        <w:rPr>
          <w:rFonts w:ascii="Arial" w:hAnsi="Arial"/>
          <w:sz w:val="20"/>
          <w:lang w:val="fr-FR"/>
        </w:rPr>
        <w:t xml:space="preserve"> (1947), </w:t>
      </w:r>
      <w:hyperlink r:id="rId17" w:history="1">
        <w:r w:rsidRPr="00625F77">
          <w:rPr>
            <w:rStyle w:val="Lienhypertexte"/>
            <w:rFonts w:ascii="Arial" w:hAnsi="Arial"/>
            <w:sz w:val="20"/>
          </w:rPr>
          <w:t>194 (III)</w:t>
        </w:r>
      </w:hyperlink>
      <w:r w:rsidRPr="00625F77">
        <w:rPr>
          <w:rFonts w:ascii="Arial" w:hAnsi="Arial"/>
          <w:sz w:val="20"/>
          <w:lang w:val="fr-FR"/>
        </w:rPr>
        <w:t xml:space="preserve"> (1948), </w:t>
      </w:r>
      <w:hyperlink r:id="rId18" w:history="1">
        <w:r w:rsidRPr="00625F77">
          <w:rPr>
            <w:rStyle w:val="Lienhypertexte"/>
            <w:rFonts w:ascii="Arial" w:hAnsi="Arial"/>
            <w:sz w:val="20"/>
          </w:rPr>
          <w:t>58/292</w:t>
        </w:r>
      </w:hyperlink>
      <w:r w:rsidRPr="00625F77">
        <w:rPr>
          <w:rFonts w:ascii="Arial" w:hAnsi="Arial"/>
          <w:sz w:val="20"/>
          <w:lang w:val="fr-FR"/>
        </w:rPr>
        <w:t xml:space="preserve"> (2004), </w:t>
      </w:r>
      <w:hyperlink r:id="rId19" w:history="1">
        <w:r w:rsidRPr="00625F77">
          <w:rPr>
            <w:rStyle w:val="Lienhypertexte"/>
            <w:rFonts w:ascii="Arial" w:hAnsi="Arial"/>
            <w:sz w:val="20"/>
          </w:rPr>
          <w:t>67/19</w:t>
        </w:r>
      </w:hyperlink>
      <w:r w:rsidRPr="00625F77">
        <w:rPr>
          <w:rFonts w:ascii="Arial" w:hAnsi="Arial"/>
          <w:sz w:val="20"/>
          <w:lang w:val="fr-FR"/>
        </w:rPr>
        <w:t xml:space="preserve"> (2012), </w:t>
      </w:r>
      <w:hyperlink r:id="rId20" w:history="1">
        <w:r w:rsidRPr="00625F77">
          <w:rPr>
            <w:rStyle w:val="Lienhypertexte"/>
            <w:rFonts w:ascii="Arial" w:hAnsi="Arial"/>
            <w:sz w:val="20"/>
          </w:rPr>
          <w:t>73/18</w:t>
        </w:r>
      </w:hyperlink>
      <w:r w:rsidRPr="00625F77">
        <w:rPr>
          <w:rFonts w:ascii="Arial" w:hAnsi="Arial"/>
          <w:sz w:val="20"/>
          <w:lang w:val="fr-FR"/>
        </w:rPr>
        <w:t xml:space="preserve"> (2018) et la récente résolution </w:t>
      </w:r>
      <w:hyperlink r:id="rId21" w:history="1">
        <w:r w:rsidRPr="00625F77">
          <w:rPr>
            <w:rStyle w:val="Lienhypertexte"/>
            <w:rFonts w:ascii="Arial" w:hAnsi="Arial"/>
            <w:sz w:val="20"/>
          </w:rPr>
          <w:t>79/81</w:t>
        </w:r>
      </w:hyperlink>
      <w:r w:rsidRPr="00625F77">
        <w:rPr>
          <w:rFonts w:ascii="Arial" w:hAnsi="Arial"/>
          <w:sz w:val="20"/>
          <w:lang w:val="fr-FR"/>
        </w:rPr>
        <w:t xml:space="preserve"> (2024) intitulée </w:t>
      </w:r>
      <w:r w:rsidRPr="00625F77">
        <w:rPr>
          <w:rFonts w:ascii="Arial" w:hAnsi="Arial"/>
          <w:i/>
          <w:sz w:val="20"/>
          <w:lang w:val="fr-FR"/>
        </w:rPr>
        <w:t>Règlement pacifique de la question de Palestine</w:t>
      </w:r>
      <w:r w:rsidRPr="00625F77">
        <w:rPr>
          <w:rFonts w:ascii="Arial" w:hAnsi="Arial"/>
          <w:sz w:val="20"/>
          <w:lang w:val="fr-FR"/>
        </w:rPr>
        <w:t>, qui expriment un soutien indéfectible, conformément au droit international, à un règlement du conflit israélo-palestinien prévoyant deux États, sur la base des frontières de 1967, avec les deux États vivant côte à côte dans la paix et la sécurité,</w:t>
      </w:r>
    </w:p>
    <w:p w14:paraId="2638BA73" w14:textId="77777777" w:rsidR="0020034E" w:rsidRPr="00625F77" w:rsidRDefault="0020034E" w:rsidP="007C599E">
      <w:pPr>
        <w:pStyle w:val="Paragraphedeliste"/>
        <w:spacing w:after="0" w:line="240" w:lineRule="auto"/>
        <w:ind w:left="0"/>
        <w:rPr>
          <w:rFonts w:ascii="Arial" w:hAnsi="Arial"/>
          <w:sz w:val="12"/>
          <w:szCs w:val="12"/>
          <w:lang w:val="fr-FR"/>
        </w:rPr>
      </w:pPr>
    </w:p>
    <w:p w14:paraId="6955A7EA" w14:textId="77777777" w:rsidR="0020034E" w:rsidRPr="00625F77" w:rsidRDefault="0020034E" w:rsidP="007C599E">
      <w:pPr>
        <w:pStyle w:val="Paragraphedeliste"/>
        <w:tabs>
          <w:tab w:val="left" w:pos="1134"/>
        </w:tabs>
        <w:spacing w:after="0" w:line="240" w:lineRule="auto"/>
        <w:ind w:left="0"/>
        <w:rPr>
          <w:rFonts w:ascii="Arial" w:hAnsi="Arial"/>
          <w:sz w:val="20"/>
          <w:szCs w:val="20"/>
          <w:lang w:val="fr-FR"/>
        </w:rPr>
      </w:pPr>
      <w:r w:rsidRPr="00625F77">
        <w:rPr>
          <w:rFonts w:ascii="Arial" w:hAnsi="Arial"/>
          <w:sz w:val="20"/>
          <w:lang w:val="fr-FR"/>
        </w:rPr>
        <w:t>2)</w:t>
      </w:r>
      <w:r w:rsidRPr="00625F77">
        <w:rPr>
          <w:rFonts w:ascii="Arial" w:hAnsi="Arial"/>
          <w:sz w:val="20"/>
          <w:lang w:val="fr-FR"/>
        </w:rPr>
        <w:tab/>
      </w:r>
      <w:r w:rsidRPr="00625F77">
        <w:rPr>
          <w:rFonts w:ascii="Arial" w:hAnsi="Arial"/>
          <w:i/>
          <w:sz w:val="20"/>
          <w:lang w:val="fr-FR"/>
        </w:rPr>
        <w:t xml:space="preserve">rappelant également </w:t>
      </w:r>
      <w:r w:rsidRPr="00625F77">
        <w:rPr>
          <w:rFonts w:ascii="Arial" w:hAnsi="Arial"/>
          <w:sz w:val="20"/>
          <w:lang w:val="fr-FR"/>
        </w:rPr>
        <w:t xml:space="preserve">les nombreuses résolutions et déclarations adoptées par l'UIP depuis 1988 sur le conflit israélo-palestinien, qui ont toujours </w:t>
      </w:r>
      <w:bookmarkStart w:id="1" w:name="_Hlk184895345"/>
      <w:r w:rsidRPr="00625F77">
        <w:rPr>
          <w:rFonts w:ascii="Arial" w:hAnsi="Arial"/>
          <w:sz w:val="20"/>
          <w:lang w:val="fr-FR"/>
        </w:rPr>
        <w:t>souligné la nécessité d'un règlement pacifique fondé sur le droit international et la reconnaissance mutuelle</w:t>
      </w:r>
      <w:bookmarkEnd w:id="1"/>
      <w:r w:rsidRPr="00625F77">
        <w:rPr>
          <w:rFonts w:ascii="Arial" w:hAnsi="Arial"/>
          <w:sz w:val="20"/>
          <w:lang w:val="fr-FR"/>
        </w:rPr>
        <w:t>, réaffirmé le droit du peuple palestinien à l'autodétermination, dénoncé les colonies illégales, condamné tous les actes de terrorisme et les attaques violentes, et appelé à une action humanitaire urgente, tout en soutenant les efforts internationaux visant à parvenir à une solution à deux États,</w:t>
      </w:r>
    </w:p>
    <w:p w14:paraId="1617A98E" w14:textId="77777777" w:rsidR="0020034E" w:rsidRPr="00625F77" w:rsidRDefault="0020034E" w:rsidP="007C599E">
      <w:pPr>
        <w:pStyle w:val="Paragraphedeliste"/>
        <w:spacing w:after="0" w:line="240" w:lineRule="auto"/>
        <w:ind w:left="0"/>
        <w:rPr>
          <w:rFonts w:ascii="Arial" w:hAnsi="Arial"/>
          <w:sz w:val="12"/>
          <w:szCs w:val="12"/>
          <w:lang w:val="fr-FR"/>
        </w:rPr>
      </w:pPr>
    </w:p>
    <w:p w14:paraId="24D0757E" w14:textId="77777777" w:rsidR="0020034E" w:rsidRPr="00625F77" w:rsidRDefault="0020034E" w:rsidP="007C599E">
      <w:pPr>
        <w:pStyle w:val="Paragraphedeliste"/>
        <w:tabs>
          <w:tab w:val="left" w:pos="1134"/>
        </w:tabs>
        <w:spacing w:after="0" w:line="240" w:lineRule="auto"/>
        <w:ind w:left="0"/>
        <w:rPr>
          <w:rFonts w:ascii="Arial" w:hAnsi="Arial"/>
          <w:sz w:val="20"/>
          <w:szCs w:val="20"/>
          <w:lang w:val="fr-FR"/>
        </w:rPr>
      </w:pPr>
      <w:r w:rsidRPr="00625F77">
        <w:rPr>
          <w:rFonts w:ascii="Arial" w:hAnsi="Arial"/>
          <w:sz w:val="20"/>
          <w:lang w:val="fr-FR"/>
        </w:rPr>
        <w:t>3)</w:t>
      </w:r>
      <w:r w:rsidRPr="00625F77">
        <w:rPr>
          <w:rFonts w:ascii="Arial" w:hAnsi="Arial"/>
          <w:i/>
          <w:sz w:val="20"/>
          <w:lang w:val="fr-FR"/>
        </w:rPr>
        <w:tab/>
        <w:t>consciente</w:t>
      </w:r>
      <w:r w:rsidRPr="00625F77">
        <w:rPr>
          <w:rFonts w:ascii="Arial" w:hAnsi="Arial"/>
          <w:sz w:val="20"/>
          <w:lang w:val="fr-FR"/>
        </w:rPr>
        <w:t xml:space="preserve"> du conflit israélo-palestinien de longue date, de son bilan humain dévastateur, notamment les déplacements de population, les pertes humaines et l'instabilité régionale, et de sa nette intensification depuis le 7 octobre 2023, qui s'est soldée par de nombreuses pertes humaines, des prises d'otages et une escalade de la violence, ce qui a conduit à une aggravation de la crise humanitaire à Gaza, exacerbée par des conditions de vie désastreuses et un accès restreint aux ressources essentielles,</w:t>
      </w:r>
    </w:p>
    <w:p w14:paraId="6C38327F" w14:textId="77777777" w:rsidR="0020034E" w:rsidRPr="00625F77" w:rsidRDefault="0020034E" w:rsidP="007C599E">
      <w:pPr>
        <w:pStyle w:val="Paragraphedeliste"/>
        <w:tabs>
          <w:tab w:val="left" w:pos="1134"/>
        </w:tabs>
        <w:spacing w:after="0" w:line="240" w:lineRule="auto"/>
        <w:ind w:left="0"/>
        <w:rPr>
          <w:rFonts w:ascii="Arial" w:hAnsi="Arial"/>
          <w:sz w:val="12"/>
          <w:szCs w:val="12"/>
          <w:lang w:val="fr-FR"/>
        </w:rPr>
      </w:pPr>
    </w:p>
    <w:p w14:paraId="42F6162B" w14:textId="6A3C1AF4" w:rsidR="0020034E" w:rsidRPr="00625F77" w:rsidRDefault="0020034E" w:rsidP="007C599E">
      <w:pPr>
        <w:pStyle w:val="Paragraphedeliste"/>
        <w:tabs>
          <w:tab w:val="left" w:pos="1134"/>
        </w:tabs>
        <w:spacing w:after="0" w:line="240" w:lineRule="auto"/>
        <w:ind w:left="0"/>
        <w:rPr>
          <w:rFonts w:ascii="Arial" w:hAnsi="Arial"/>
          <w:sz w:val="20"/>
          <w:szCs w:val="20"/>
          <w:lang w:val="fr-FR"/>
        </w:rPr>
      </w:pPr>
      <w:r w:rsidRPr="00625F77">
        <w:rPr>
          <w:rFonts w:ascii="Arial" w:hAnsi="Arial"/>
          <w:sz w:val="20"/>
          <w:lang w:val="fr-FR"/>
        </w:rPr>
        <w:t>4)</w:t>
      </w:r>
      <w:r w:rsidRPr="00625F77">
        <w:rPr>
          <w:rFonts w:ascii="Arial" w:hAnsi="Arial"/>
          <w:sz w:val="20"/>
          <w:lang w:val="fr-FR"/>
        </w:rPr>
        <w:tab/>
      </w:r>
      <w:r w:rsidRPr="00625F77">
        <w:rPr>
          <w:rFonts w:ascii="Arial" w:hAnsi="Arial"/>
          <w:i/>
          <w:sz w:val="20"/>
          <w:lang w:val="fr-FR"/>
        </w:rPr>
        <w:t>fermement convaincue</w:t>
      </w:r>
      <w:r w:rsidRPr="00625F77">
        <w:rPr>
          <w:rFonts w:ascii="Arial" w:hAnsi="Arial"/>
          <w:sz w:val="20"/>
          <w:lang w:val="fr-FR"/>
        </w:rPr>
        <w:t xml:space="preserve"> que l'enjeu du conflit israélo-palestinien dépasse le cadre régional et que ses répercussions se font sentir au niveau mondial, notamment par l'exportation des tensions vers d'autres parties du monde, ce qui alimente les divisions au sein des </w:t>
      </w:r>
      <w:r w:rsidR="00E27EB5">
        <w:rPr>
          <w:rFonts w:ascii="Arial" w:hAnsi="Arial"/>
          <w:sz w:val="20"/>
          <w:lang w:val="fr-FR"/>
        </w:rPr>
        <w:t>populations locales</w:t>
      </w:r>
      <w:r w:rsidRPr="00625F77">
        <w:rPr>
          <w:rFonts w:ascii="Arial" w:hAnsi="Arial"/>
          <w:sz w:val="20"/>
          <w:lang w:val="fr-FR"/>
        </w:rPr>
        <w:t xml:space="preserve">, influe sur les relations internationales, fragilise le droit international, notamment le droit international humanitaire, a des conséquences sur la paix et la sécurité </w:t>
      </w:r>
      <w:r w:rsidR="009560A6">
        <w:rPr>
          <w:rFonts w:ascii="Arial" w:hAnsi="Arial"/>
          <w:sz w:val="20"/>
          <w:lang w:val="fr-FR"/>
        </w:rPr>
        <w:t>mondiales</w:t>
      </w:r>
      <w:r w:rsidRPr="00625F77">
        <w:rPr>
          <w:rFonts w:ascii="Arial" w:hAnsi="Arial"/>
          <w:sz w:val="20"/>
          <w:lang w:val="fr-FR"/>
        </w:rPr>
        <w:t>, et complique la coopération multilatérale,</w:t>
      </w:r>
    </w:p>
    <w:p w14:paraId="75BD35FA" w14:textId="77777777" w:rsidR="0020034E" w:rsidRPr="00625F77" w:rsidRDefault="0020034E" w:rsidP="007C599E">
      <w:pPr>
        <w:pStyle w:val="Paragraphedeliste"/>
        <w:tabs>
          <w:tab w:val="left" w:pos="1134"/>
        </w:tabs>
        <w:spacing w:after="0" w:line="240" w:lineRule="auto"/>
        <w:ind w:left="0"/>
        <w:rPr>
          <w:rFonts w:ascii="Arial" w:hAnsi="Arial"/>
          <w:sz w:val="12"/>
          <w:szCs w:val="12"/>
          <w:lang w:val="fr-FR"/>
        </w:rPr>
      </w:pPr>
    </w:p>
    <w:p w14:paraId="76CCA729" w14:textId="77777777" w:rsidR="0020034E" w:rsidRPr="00625F77" w:rsidRDefault="0020034E" w:rsidP="007C599E">
      <w:pPr>
        <w:pStyle w:val="Paragraphedeliste"/>
        <w:tabs>
          <w:tab w:val="left" w:pos="1134"/>
        </w:tabs>
        <w:spacing w:after="0" w:line="240" w:lineRule="auto"/>
        <w:ind w:left="0"/>
        <w:rPr>
          <w:rFonts w:ascii="Arial" w:hAnsi="Arial"/>
          <w:sz w:val="20"/>
          <w:szCs w:val="20"/>
          <w:lang w:val="fr-FR"/>
        </w:rPr>
      </w:pPr>
      <w:r w:rsidRPr="00625F77">
        <w:rPr>
          <w:rFonts w:ascii="Arial" w:hAnsi="Arial"/>
          <w:sz w:val="20"/>
          <w:lang w:val="fr-FR"/>
        </w:rPr>
        <w:t>5)</w:t>
      </w:r>
      <w:r w:rsidRPr="00625F77">
        <w:rPr>
          <w:rFonts w:ascii="Arial" w:hAnsi="Arial"/>
          <w:sz w:val="20"/>
          <w:lang w:val="fr-FR"/>
        </w:rPr>
        <w:tab/>
      </w:r>
      <w:r w:rsidRPr="00625F77">
        <w:rPr>
          <w:rFonts w:ascii="Arial" w:hAnsi="Arial"/>
          <w:i/>
          <w:sz w:val="20"/>
          <w:lang w:val="fr-FR"/>
        </w:rPr>
        <w:t>exprimant sa vive préoccupation</w:t>
      </w:r>
      <w:r w:rsidRPr="00625F77">
        <w:rPr>
          <w:rFonts w:ascii="Arial" w:hAnsi="Arial"/>
          <w:sz w:val="20"/>
          <w:lang w:val="fr-FR"/>
        </w:rPr>
        <w:t xml:space="preserve"> concernant la poursuite de l'occupation des territoires palestiniens et l'expansion des colonies israéliennes en violation du droit international et de l'interdiction de l'acquisition de territoires par la force, en contradiction avec les principes d'autodétermination et d'intégrité territoriale consacrés par la Charte des Nations Unies,</w:t>
      </w:r>
    </w:p>
    <w:p w14:paraId="2435CD1A" w14:textId="77777777" w:rsidR="0020034E" w:rsidRPr="00625F77" w:rsidRDefault="0020034E" w:rsidP="007C599E">
      <w:pPr>
        <w:pStyle w:val="Paragraphedeliste"/>
        <w:tabs>
          <w:tab w:val="left" w:pos="1134"/>
        </w:tabs>
        <w:spacing w:after="0" w:line="240" w:lineRule="auto"/>
        <w:ind w:left="0"/>
        <w:rPr>
          <w:rFonts w:ascii="Arial" w:hAnsi="Arial"/>
          <w:sz w:val="12"/>
          <w:szCs w:val="12"/>
          <w:lang w:val="fr-FR"/>
        </w:rPr>
      </w:pPr>
    </w:p>
    <w:p w14:paraId="0639A12C" w14:textId="2CC576B2" w:rsidR="00D770AF" w:rsidRPr="00625F77" w:rsidRDefault="0020034E" w:rsidP="007C599E">
      <w:pPr>
        <w:shd w:val="clear" w:color="auto" w:fill="FFFFFF"/>
        <w:tabs>
          <w:tab w:val="left" w:pos="1134"/>
        </w:tabs>
        <w:spacing w:after="0" w:line="240" w:lineRule="auto"/>
        <w:contextualSpacing/>
        <w:rPr>
          <w:rFonts w:ascii="Arial" w:eastAsia="Times New Roman" w:hAnsi="Arial" w:cs="Arial"/>
          <w:sz w:val="20"/>
          <w:szCs w:val="20"/>
        </w:rPr>
      </w:pPr>
      <w:r w:rsidRPr="00625F77">
        <w:rPr>
          <w:rFonts w:ascii="Arial" w:hAnsi="Arial"/>
          <w:sz w:val="20"/>
        </w:rPr>
        <w:t>6)</w:t>
      </w:r>
      <w:r w:rsidRPr="00625F77">
        <w:rPr>
          <w:rFonts w:ascii="Arial" w:hAnsi="Arial"/>
          <w:sz w:val="20"/>
        </w:rPr>
        <w:tab/>
      </w:r>
      <w:r w:rsidRPr="00625F77">
        <w:rPr>
          <w:rFonts w:ascii="Arial" w:hAnsi="Arial"/>
          <w:i/>
          <w:sz w:val="20"/>
        </w:rPr>
        <w:t>réaffirmant</w:t>
      </w:r>
      <w:r w:rsidRPr="00625F77">
        <w:rPr>
          <w:rFonts w:ascii="Arial" w:hAnsi="Arial"/>
          <w:sz w:val="20"/>
        </w:rPr>
        <w:t xml:space="preserve"> le droit du peuple palestinien à l'autodétermination et à ériger un État sur la base des frontières de 1967 dans le cadre d'une solution à deux États, ainsi que le rôle essentiel joué par la Cour internationale de </w:t>
      </w:r>
      <w:r w:rsidR="009A5A19">
        <w:rPr>
          <w:rFonts w:ascii="Arial" w:hAnsi="Arial"/>
          <w:sz w:val="20"/>
        </w:rPr>
        <w:t>J</w:t>
      </w:r>
      <w:r w:rsidR="009A5A19" w:rsidRPr="00625F77">
        <w:rPr>
          <w:rFonts w:ascii="Arial" w:hAnsi="Arial"/>
          <w:sz w:val="20"/>
        </w:rPr>
        <w:t xml:space="preserve">ustice </w:t>
      </w:r>
      <w:r w:rsidRPr="00625F77">
        <w:rPr>
          <w:rFonts w:ascii="Arial" w:hAnsi="Arial"/>
          <w:sz w:val="20"/>
        </w:rPr>
        <w:t>(CIJ) dans le respect des normes juridiques internationales et dans la fourniture d'avis consultatifs sur les conséquences juridiques de l'occupation et de la colonisation,</w:t>
      </w:r>
    </w:p>
    <w:p w14:paraId="69990FBD" w14:textId="77777777" w:rsidR="007B49E8" w:rsidRPr="00625F77" w:rsidRDefault="007B49E8" w:rsidP="007C599E">
      <w:pPr>
        <w:shd w:val="clear" w:color="auto" w:fill="FFFFFF"/>
        <w:tabs>
          <w:tab w:val="left" w:pos="1134"/>
        </w:tabs>
        <w:spacing w:after="0" w:line="240" w:lineRule="auto"/>
        <w:contextualSpacing/>
        <w:rPr>
          <w:rFonts w:ascii="Arial" w:eastAsia="Times New Roman" w:hAnsi="Arial" w:cs="Arial"/>
          <w:sz w:val="20"/>
          <w:szCs w:val="20"/>
        </w:rPr>
        <w:sectPr w:rsidR="007B49E8" w:rsidRPr="00625F77" w:rsidSect="0099409A">
          <w:headerReference w:type="default" r:id="rId22"/>
          <w:footerReference w:type="default" r:id="rId23"/>
          <w:pgSz w:w="11906" w:h="16838"/>
          <w:pgMar w:top="2835" w:right="680" w:bottom="816" w:left="1928" w:header="709" w:footer="709" w:gutter="0"/>
          <w:cols w:space="708"/>
          <w:docGrid w:linePitch="360"/>
        </w:sectPr>
      </w:pPr>
    </w:p>
    <w:p w14:paraId="499E473C" w14:textId="7B7C0400" w:rsidR="0020034E" w:rsidRPr="00BB3611" w:rsidRDefault="0020034E" w:rsidP="007C599E">
      <w:pPr>
        <w:shd w:val="clear" w:color="auto" w:fill="FFFFFF"/>
        <w:tabs>
          <w:tab w:val="left" w:pos="1134"/>
        </w:tabs>
        <w:spacing w:after="0" w:line="240" w:lineRule="auto"/>
        <w:contextualSpacing/>
        <w:rPr>
          <w:rFonts w:ascii="Arial" w:hAnsi="Arial"/>
          <w:sz w:val="20"/>
          <w:szCs w:val="20"/>
        </w:rPr>
      </w:pPr>
      <w:r w:rsidRPr="00625F77">
        <w:rPr>
          <w:rFonts w:ascii="Arial" w:hAnsi="Arial"/>
          <w:sz w:val="20"/>
        </w:rPr>
        <w:lastRenderedPageBreak/>
        <w:t>7)</w:t>
      </w:r>
      <w:r w:rsidRPr="00625F77">
        <w:rPr>
          <w:rFonts w:ascii="Arial" w:hAnsi="Arial"/>
          <w:sz w:val="20"/>
        </w:rPr>
        <w:tab/>
      </w:r>
      <w:r w:rsidRPr="00625F77">
        <w:rPr>
          <w:rFonts w:ascii="Arial" w:hAnsi="Arial"/>
          <w:i/>
          <w:sz w:val="20"/>
        </w:rPr>
        <w:t>vivement préoccupée</w:t>
      </w:r>
      <w:r w:rsidRPr="00625F77">
        <w:rPr>
          <w:rFonts w:ascii="Arial" w:hAnsi="Arial"/>
          <w:sz w:val="20"/>
        </w:rPr>
        <w:t xml:space="preserve"> par les graves violations des droits fondamentaux, de la dignité et de la sécurité des civils </w:t>
      </w:r>
      <w:r w:rsidRPr="00625F77">
        <w:rPr>
          <w:rFonts w:ascii="Arial" w:hAnsi="Arial"/>
          <w:sz w:val="20"/>
          <w:cs/>
        </w:rPr>
        <w:t xml:space="preserve">– </w:t>
      </w:r>
      <w:r w:rsidRPr="00625F77">
        <w:rPr>
          <w:rFonts w:ascii="Arial" w:hAnsi="Arial"/>
          <w:sz w:val="20"/>
        </w:rPr>
        <w:t xml:space="preserve">les enfants, les femmes, les filles et les personnes handicapées étant les </w:t>
      </w:r>
      <w:r w:rsidRPr="00BB3611">
        <w:rPr>
          <w:rFonts w:ascii="Arial" w:hAnsi="Arial"/>
          <w:sz w:val="20"/>
          <w:szCs w:val="20"/>
        </w:rPr>
        <w:t>plus touchés</w:t>
      </w:r>
      <w:r w:rsidR="00E27EB5" w:rsidRPr="00BB3611">
        <w:rPr>
          <w:rFonts w:ascii="Arial" w:hAnsi="Arial"/>
          <w:sz w:val="20"/>
          <w:szCs w:val="20"/>
        </w:rPr>
        <w:t xml:space="preserve"> </w:t>
      </w:r>
      <w:r w:rsidR="003A6399" w:rsidRPr="00BB3611">
        <w:rPr>
          <w:rFonts w:ascii="Arial" w:hAnsi="Arial"/>
          <w:sz w:val="20"/>
          <w:szCs w:val="20"/>
        </w:rPr>
        <w:t xml:space="preserve">au sein </w:t>
      </w:r>
      <w:r w:rsidR="00E27EB5" w:rsidRPr="00BB3611">
        <w:rPr>
          <w:rFonts w:ascii="Arial" w:hAnsi="Arial"/>
          <w:sz w:val="20"/>
          <w:szCs w:val="20"/>
        </w:rPr>
        <w:t xml:space="preserve">de </w:t>
      </w:r>
      <w:r w:rsidR="00161295" w:rsidRPr="00BB3611">
        <w:rPr>
          <w:rFonts w:ascii="Arial" w:hAnsi="Arial"/>
          <w:sz w:val="20"/>
          <w:szCs w:val="20"/>
        </w:rPr>
        <w:t xml:space="preserve">la </w:t>
      </w:r>
      <w:r w:rsidR="00E27EB5" w:rsidRPr="00BB3611">
        <w:rPr>
          <w:rFonts w:ascii="Arial" w:hAnsi="Arial"/>
          <w:sz w:val="20"/>
          <w:szCs w:val="20"/>
        </w:rPr>
        <w:t xml:space="preserve">population </w:t>
      </w:r>
      <w:r w:rsidR="003A6399" w:rsidRPr="00BB3611">
        <w:rPr>
          <w:rFonts w:ascii="Arial" w:hAnsi="Arial"/>
          <w:sz w:val="20"/>
          <w:szCs w:val="20"/>
        </w:rPr>
        <w:t>concern</w:t>
      </w:r>
      <w:r w:rsidR="00E27EB5" w:rsidRPr="00BB3611">
        <w:rPr>
          <w:rFonts w:ascii="Arial" w:hAnsi="Arial"/>
          <w:sz w:val="20"/>
          <w:szCs w:val="20"/>
        </w:rPr>
        <w:t>é</w:t>
      </w:r>
      <w:r w:rsidR="00161295" w:rsidRPr="00BB3611">
        <w:rPr>
          <w:rFonts w:ascii="Arial" w:hAnsi="Arial"/>
          <w:sz w:val="20"/>
          <w:szCs w:val="20"/>
        </w:rPr>
        <w:t>e</w:t>
      </w:r>
      <w:r w:rsidRPr="00BB3611">
        <w:rPr>
          <w:rFonts w:ascii="Arial" w:hAnsi="Arial"/>
          <w:sz w:val="20"/>
          <w:szCs w:val="20"/>
        </w:rPr>
        <w:t xml:space="preserve"> </w:t>
      </w:r>
      <w:r w:rsidRPr="00BB3611">
        <w:rPr>
          <w:rFonts w:ascii="Arial" w:hAnsi="Arial"/>
          <w:sz w:val="20"/>
          <w:szCs w:val="20"/>
          <w:cs/>
        </w:rPr>
        <w:t xml:space="preserve">– </w:t>
      </w:r>
      <w:r w:rsidRPr="00BB3611">
        <w:rPr>
          <w:rFonts w:ascii="Arial" w:hAnsi="Arial"/>
          <w:sz w:val="20"/>
          <w:szCs w:val="20"/>
        </w:rPr>
        <w:t>alors que le conflit continue de provoquer des déplacements de population, de détruire les moyens de subsistance, de restreindre l'accès humanitaire et d'exacerber les inégalités, laissant des séquelles physiques, psychologiques et socio-économiques durables sur les individus, les familles et des populations entières,</w:t>
      </w:r>
    </w:p>
    <w:p w14:paraId="50E5B66E" w14:textId="77777777" w:rsidR="0020034E" w:rsidRPr="00BB3611" w:rsidRDefault="0020034E" w:rsidP="007C599E">
      <w:pPr>
        <w:shd w:val="clear" w:color="auto" w:fill="FFFFFF"/>
        <w:tabs>
          <w:tab w:val="left" w:pos="1134"/>
        </w:tabs>
        <w:spacing w:after="0" w:line="240" w:lineRule="auto"/>
        <w:contextualSpacing/>
        <w:rPr>
          <w:rFonts w:ascii="Arial" w:hAnsi="Arial"/>
          <w:sz w:val="16"/>
          <w:szCs w:val="16"/>
        </w:rPr>
      </w:pPr>
    </w:p>
    <w:p w14:paraId="2335CD5A" w14:textId="15F9928B" w:rsidR="0020034E" w:rsidRPr="00BB3611" w:rsidRDefault="0020034E" w:rsidP="007C599E">
      <w:pPr>
        <w:pStyle w:val="Paragraphedeliste"/>
        <w:tabs>
          <w:tab w:val="left" w:pos="1134"/>
        </w:tabs>
        <w:spacing w:after="0" w:line="240" w:lineRule="auto"/>
        <w:ind w:left="0"/>
        <w:rPr>
          <w:rFonts w:ascii="Arial" w:hAnsi="Arial"/>
          <w:sz w:val="20"/>
          <w:szCs w:val="20"/>
          <w:lang w:val="fr-FR"/>
        </w:rPr>
      </w:pPr>
      <w:r w:rsidRPr="00BB3611">
        <w:rPr>
          <w:rFonts w:ascii="Arial" w:hAnsi="Arial"/>
          <w:sz w:val="20"/>
          <w:szCs w:val="20"/>
          <w:lang w:val="fr-FR"/>
        </w:rPr>
        <w:t>8)</w:t>
      </w:r>
      <w:r w:rsidRPr="00BB3611">
        <w:rPr>
          <w:rFonts w:ascii="Arial" w:hAnsi="Arial"/>
          <w:sz w:val="20"/>
          <w:szCs w:val="20"/>
          <w:lang w:val="fr-FR"/>
        </w:rPr>
        <w:tab/>
      </w:r>
      <w:r w:rsidRPr="00BB3611">
        <w:rPr>
          <w:rFonts w:ascii="Arial" w:hAnsi="Arial"/>
          <w:i/>
          <w:sz w:val="20"/>
          <w:szCs w:val="20"/>
          <w:lang w:val="fr-FR"/>
        </w:rPr>
        <w:t>sachant</w:t>
      </w:r>
      <w:r w:rsidRPr="00BB3611">
        <w:rPr>
          <w:rFonts w:ascii="Arial" w:hAnsi="Arial"/>
          <w:sz w:val="20"/>
          <w:szCs w:val="20"/>
          <w:lang w:val="fr-FR"/>
        </w:rPr>
        <w:t xml:space="preserve"> que les actes de violence et de terrorisme contre les civils et l'utilisation de la famine comme arme de guerre constituent des violations graves du droit international humanitaire et que les États doivent agir dans le plein respect de l'état de droit et de</w:t>
      </w:r>
      <w:r w:rsidR="00004172" w:rsidRPr="00BB3611">
        <w:rPr>
          <w:rFonts w:ascii="Arial" w:hAnsi="Arial"/>
          <w:sz w:val="20"/>
          <w:szCs w:val="20"/>
          <w:lang w:val="fr-FR"/>
        </w:rPr>
        <w:t xml:space="preserve"> leur</w:t>
      </w:r>
      <w:r w:rsidRPr="00BB3611">
        <w:rPr>
          <w:rFonts w:ascii="Arial" w:hAnsi="Arial"/>
          <w:sz w:val="20"/>
          <w:szCs w:val="20"/>
          <w:lang w:val="fr-FR"/>
        </w:rPr>
        <w:t>s obligations en matière de droits de l'homme,</w:t>
      </w:r>
    </w:p>
    <w:p w14:paraId="6213B250" w14:textId="77777777" w:rsidR="0020034E" w:rsidRPr="00BB3611" w:rsidRDefault="0020034E" w:rsidP="007C599E">
      <w:pPr>
        <w:pStyle w:val="Paragraphedeliste"/>
        <w:tabs>
          <w:tab w:val="left" w:pos="1134"/>
        </w:tabs>
        <w:spacing w:after="0" w:line="240" w:lineRule="auto"/>
        <w:ind w:left="567"/>
        <w:rPr>
          <w:rFonts w:ascii="Arial" w:hAnsi="Arial"/>
          <w:sz w:val="16"/>
          <w:szCs w:val="16"/>
          <w:lang w:val="fr-FR"/>
        </w:rPr>
      </w:pPr>
    </w:p>
    <w:p w14:paraId="28AC7EE1" w14:textId="05ABFEB9" w:rsidR="0020034E" w:rsidRPr="00BB3611" w:rsidRDefault="0020034E" w:rsidP="007C599E">
      <w:pPr>
        <w:pStyle w:val="Paragraphedeliste"/>
        <w:tabs>
          <w:tab w:val="left" w:pos="1134"/>
        </w:tabs>
        <w:spacing w:after="0" w:line="240" w:lineRule="auto"/>
        <w:ind w:left="0"/>
        <w:rPr>
          <w:rFonts w:ascii="Arial" w:hAnsi="Arial"/>
          <w:sz w:val="20"/>
          <w:szCs w:val="20"/>
          <w:lang w:val="fr-FR"/>
        </w:rPr>
      </w:pPr>
      <w:bookmarkStart w:id="12" w:name="_Hlk184820721"/>
      <w:r w:rsidRPr="00BB3611">
        <w:rPr>
          <w:rFonts w:ascii="Arial" w:hAnsi="Arial"/>
          <w:sz w:val="20"/>
          <w:szCs w:val="20"/>
          <w:lang w:val="fr-FR"/>
        </w:rPr>
        <w:t>9)</w:t>
      </w:r>
      <w:r w:rsidRPr="00BB3611">
        <w:rPr>
          <w:rFonts w:ascii="Arial" w:hAnsi="Arial"/>
          <w:sz w:val="20"/>
          <w:szCs w:val="20"/>
          <w:lang w:val="fr-FR"/>
        </w:rPr>
        <w:tab/>
      </w:r>
      <w:r w:rsidRPr="00BB3611">
        <w:rPr>
          <w:rFonts w:ascii="Arial" w:hAnsi="Arial"/>
          <w:i/>
          <w:sz w:val="20"/>
          <w:szCs w:val="20"/>
          <w:lang w:val="fr-FR"/>
        </w:rPr>
        <w:t>fermement convaincue</w:t>
      </w:r>
      <w:r w:rsidRPr="00BB3611">
        <w:rPr>
          <w:rFonts w:ascii="Arial" w:hAnsi="Arial"/>
          <w:sz w:val="20"/>
          <w:szCs w:val="20"/>
          <w:lang w:val="fr-FR"/>
        </w:rPr>
        <w:t xml:space="preserve"> que la solution à deux États est la seule solution viable pour briser le cycle de la violence et garantir la sécurité, la prospérité et l'égalité des droits pour les peuples israélien et palestinien, conformément au droit international et aux principes d'autodétermination et d'intégrité territoriale, et que les étapes clés pour atteindre cet objectif comprennent notamment un cessez-le-feu immédiat à Gaza, devant conduire en particulier à la libération des otages et des prisonniers politiques, </w:t>
      </w:r>
      <w:r w:rsidR="00004172" w:rsidRPr="00BB3611">
        <w:rPr>
          <w:rFonts w:ascii="Arial" w:hAnsi="Arial"/>
          <w:sz w:val="20"/>
          <w:szCs w:val="20"/>
          <w:lang w:val="fr-FR"/>
        </w:rPr>
        <w:t xml:space="preserve">à </w:t>
      </w:r>
      <w:r w:rsidRPr="00BB3611">
        <w:rPr>
          <w:rFonts w:ascii="Arial" w:hAnsi="Arial"/>
          <w:sz w:val="20"/>
          <w:szCs w:val="20"/>
          <w:lang w:val="fr-FR"/>
        </w:rPr>
        <w:t xml:space="preserve">la reconnaissance universelle des États palestinien et israélien et </w:t>
      </w:r>
      <w:r w:rsidR="00004172" w:rsidRPr="00BB3611">
        <w:rPr>
          <w:rFonts w:ascii="Arial" w:hAnsi="Arial"/>
          <w:sz w:val="20"/>
          <w:szCs w:val="20"/>
          <w:lang w:val="fr-FR"/>
        </w:rPr>
        <w:t xml:space="preserve">à </w:t>
      </w:r>
      <w:r w:rsidRPr="00BB3611">
        <w:rPr>
          <w:rFonts w:ascii="Arial" w:hAnsi="Arial"/>
          <w:sz w:val="20"/>
          <w:szCs w:val="20"/>
          <w:lang w:val="fr-FR"/>
        </w:rPr>
        <w:t>la cessation des activités illégales de colonisation, car la paix ne peut être obtenue par la force ou par l'occupation,</w:t>
      </w:r>
    </w:p>
    <w:p w14:paraId="7C8C5314" w14:textId="77777777" w:rsidR="0020034E" w:rsidRPr="00BB3611" w:rsidRDefault="0020034E" w:rsidP="007C599E">
      <w:pPr>
        <w:tabs>
          <w:tab w:val="left" w:pos="1134"/>
        </w:tabs>
        <w:spacing w:after="0" w:line="240" w:lineRule="auto"/>
        <w:rPr>
          <w:rFonts w:ascii="Arial" w:hAnsi="Arial"/>
          <w:sz w:val="16"/>
          <w:szCs w:val="16"/>
        </w:rPr>
      </w:pPr>
    </w:p>
    <w:bookmarkEnd w:id="12"/>
    <w:p w14:paraId="41AB0DB1" w14:textId="4B518B08" w:rsidR="00E304D0" w:rsidRPr="00BB3611" w:rsidRDefault="0020034E" w:rsidP="007C599E">
      <w:pPr>
        <w:shd w:val="clear" w:color="auto" w:fill="FFFFFF"/>
        <w:tabs>
          <w:tab w:val="left" w:pos="1134"/>
        </w:tabs>
        <w:spacing w:after="0" w:line="240" w:lineRule="auto"/>
        <w:contextualSpacing/>
        <w:rPr>
          <w:rFonts w:ascii="Arial" w:eastAsia="Times New Roman" w:hAnsi="Arial" w:cs="Arial"/>
          <w:sz w:val="20"/>
          <w:szCs w:val="20"/>
        </w:rPr>
      </w:pPr>
      <w:r w:rsidRPr="00BB3611">
        <w:rPr>
          <w:rFonts w:ascii="Arial" w:hAnsi="Arial"/>
          <w:sz w:val="20"/>
          <w:szCs w:val="20"/>
        </w:rPr>
        <w:t>10)</w:t>
      </w:r>
      <w:r w:rsidRPr="00BB3611">
        <w:rPr>
          <w:rFonts w:ascii="Arial" w:hAnsi="Arial"/>
          <w:sz w:val="20"/>
          <w:szCs w:val="20"/>
        </w:rPr>
        <w:tab/>
      </w:r>
      <w:r w:rsidRPr="00BB3611">
        <w:rPr>
          <w:rFonts w:ascii="Arial" w:hAnsi="Arial"/>
          <w:i/>
          <w:sz w:val="20"/>
          <w:szCs w:val="20"/>
        </w:rPr>
        <w:t>soulignant</w:t>
      </w:r>
      <w:r w:rsidRPr="00BB3611">
        <w:rPr>
          <w:rFonts w:ascii="Arial" w:hAnsi="Arial"/>
          <w:sz w:val="20"/>
          <w:szCs w:val="20"/>
        </w:rPr>
        <w:t xml:space="preserve"> le rôle singulier joué par les parlements, y compris par les instances parlementaires régionales, dans la promotion du dialogue, de la diplomatie et de la consolidation de la paix en faveur d'une solution à deux États, tout en mettant à profit leurs principales fonctions pour faire respecter le droit international, amener l'exécutif à rendre compte de son action, faciliter des débats ouverts à tous et la recherche d'un consensus, promouvoir les droits de l'homme, protéger les groupes vulnérables, allouer des fonds à l'aide humanitaire et à la reconstruction, et favoriser la coopération internationale et la diplomatie parlementaire en vue </w:t>
      </w:r>
      <w:r w:rsidR="009560A6" w:rsidRPr="00BB3611">
        <w:rPr>
          <w:rFonts w:ascii="Arial" w:hAnsi="Arial"/>
          <w:sz w:val="20"/>
          <w:szCs w:val="20"/>
        </w:rPr>
        <w:t>d'encourager le règlement</w:t>
      </w:r>
      <w:r w:rsidRPr="00BB3611">
        <w:rPr>
          <w:rFonts w:ascii="Arial" w:hAnsi="Arial"/>
          <w:sz w:val="20"/>
          <w:szCs w:val="20"/>
        </w:rPr>
        <w:t xml:space="preserve"> pacifique du conflit,</w:t>
      </w:r>
      <w:r w:rsidR="00E304D0" w:rsidRPr="00BB3611">
        <w:rPr>
          <w:rFonts w:ascii="Arial" w:hAnsi="Arial"/>
          <w:sz w:val="20"/>
          <w:szCs w:val="20"/>
        </w:rPr>
        <w:tab/>
      </w:r>
    </w:p>
    <w:p w14:paraId="5A3904E8" w14:textId="77777777" w:rsidR="00E304D0" w:rsidRPr="00BB3611" w:rsidRDefault="00E304D0" w:rsidP="007C599E">
      <w:pPr>
        <w:shd w:val="clear" w:color="auto" w:fill="FFFFFF"/>
        <w:tabs>
          <w:tab w:val="left" w:pos="1134"/>
        </w:tabs>
        <w:spacing w:after="0" w:line="240" w:lineRule="auto"/>
        <w:ind w:firstLine="720"/>
        <w:contextualSpacing/>
        <w:rPr>
          <w:rFonts w:ascii="Arial" w:eastAsia="Times New Roman" w:hAnsi="Arial" w:cs="Arial"/>
          <w:sz w:val="16"/>
          <w:szCs w:val="16"/>
        </w:rPr>
      </w:pPr>
    </w:p>
    <w:p w14:paraId="5D52160B" w14:textId="77777777" w:rsidR="0020034E" w:rsidRPr="00BB3611" w:rsidRDefault="0020034E" w:rsidP="007C599E">
      <w:pPr>
        <w:spacing w:after="0" w:line="240" w:lineRule="auto"/>
        <w:ind w:left="1134" w:hanging="567"/>
        <w:rPr>
          <w:rFonts w:ascii="Arial" w:hAnsi="Arial"/>
          <w:sz w:val="20"/>
          <w:szCs w:val="20"/>
        </w:rPr>
      </w:pPr>
      <w:r w:rsidRPr="00BB3611">
        <w:rPr>
          <w:rFonts w:ascii="Arial" w:hAnsi="Arial"/>
          <w:sz w:val="20"/>
          <w:szCs w:val="20"/>
        </w:rPr>
        <w:t>1.</w:t>
      </w:r>
      <w:r w:rsidRPr="00BB3611">
        <w:rPr>
          <w:rFonts w:ascii="Arial" w:hAnsi="Arial"/>
          <w:i/>
          <w:sz w:val="20"/>
          <w:szCs w:val="20"/>
        </w:rPr>
        <w:tab/>
        <w:t>invite</w:t>
      </w:r>
      <w:r w:rsidRPr="00BB3611">
        <w:rPr>
          <w:rFonts w:ascii="Arial" w:hAnsi="Arial"/>
          <w:sz w:val="20"/>
          <w:szCs w:val="20"/>
        </w:rPr>
        <w:t xml:space="preserve"> les parlements à exhorter leur gouvernement à plaider en faveur d'un cessez-le-feu immédiat à Gaza, pour permettre notamment la levée du blocus, la libre circulation des personnes et des biens, un meilleur accès à l'aide humanitaire et la libération des otages et des prisonniers politiques, avec pour objectif de mettre un terme à la guerre, qui ne fait que semer la mort et la désolation ;</w:t>
      </w:r>
    </w:p>
    <w:p w14:paraId="31248614" w14:textId="77777777" w:rsidR="0020034E" w:rsidRPr="00BB3611" w:rsidRDefault="0020034E" w:rsidP="007C599E">
      <w:pPr>
        <w:spacing w:after="0" w:line="240" w:lineRule="auto"/>
        <w:ind w:left="1134" w:hanging="567"/>
        <w:rPr>
          <w:rFonts w:ascii="Arial" w:hAnsi="Arial"/>
          <w:sz w:val="16"/>
          <w:szCs w:val="16"/>
        </w:rPr>
      </w:pPr>
    </w:p>
    <w:p w14:paraId="61387E30" w14:textId="4F31C7A4" w:rsidR="0020034E" w:rsidRPr="00BB3611" w:rsidRDefault="0020034E" w:rsidP="007C599E">
      <w:pPr>
        <w:spacing w:after="0" w:line="240" w:lineRule="auto"/>
        <w:ind w:left="1134" w:hanging="567"/>
        <w:rPr>
          <w:rFonts w:ascii="Arial" w:hAnsi="Arial"/>
          <w:spacing w:val="-2"/>
          <w:sz w:val="20"/>
          <w:szCs w:val="20"/>
        </w:rPr>
      </w:pPr>
      <w:r w:rsidRPr="00BB3611">
        <w:rPr>
          <w:rFonts w:ascii="Arial" w:hAnsi="Arial"/>
          <w:spacing w:val="-2"/>
          <w:sz w:val="20"/>
          <w:szCs w:val="20"/>
        </w:rPr>
        <w:t>2.</w:t>
      </w:r>
      <w:r w:rsidRPr="00BB3611">
        <w:rPr>
          <w:rFonts w:ascii="Arial" w:hAnsi="Arial"/>
          <w:i/>
          <w:spacing w:val="-2"/>
          <w:sz w:val="20"/>
          <w:szCs w:val="20"/>
        </w:rPr>
        <w:tab/>
        <w:t>invite</w:t>
      </w:r>
      <w:r w:rsidRPr="00BB3611">
        <w:rPr>
          <w:rFonts w:ascii="Arial" w:hAnsi="Arial"/>
          <w:spacing w:val="-2"/>
          <w:sz w:val="20"/>
          <w:szCs w:val="20"/>
        </w:rPr>
        <w:t xml:space="preserve"> les </w:t>
      </w:r>
      <w:r w:rsidR="006C6F75" w:rsidRPr="00BB3611">
        <w:rPr>
          <w:rFonts w:ascii="Arial" w:hAnsi="Arial"/>
          <w:spacing w:val="-2"/>
          <w:sz w:val="20"/>
          <w:szCs w:val="20"/>
        </w:rPr>
        <w:t xml:space="preserve">parlements </w:t>
      </w:r>
      <w:r w:rsidRPr="00BB3611">
        <w:rPr>
          <w:rFonts w:ascii="Arial" w:hAnsi="Arial"/>
          <w:spacing w:val="-2"/>
          <w:sz w:val="20"/>
          <w:szCs w:val="20"/>
        </w:rPr>
        <w:t>d'Israël et de Palestine à promouvoir la dignité humaine et à préserver les droits fondamentaux en prenant toutes les mesures nécessaires pour protéger les civils, en particulier les enfants, les femmes, les personnes handicapées et les personnes âgées, en garantissant un accès humanitaire sans entrave et en soutenant l'acheminement en toute sécurité des fournitures essentielles ; et, à cet égard :</w:t>
      </w:r>
    </w:p>
    <w:p w14:paraId="4F4DD7DF" w14:textId="77777777" w:rsidR="0020034E" w:rsidRPr="00BB3611" w:rsidRDefault="0020034E" w:rsidP="007C599E">
      <w:pPr>
        <w:spacing w:after="0" w:line="240" w:lineRule="auto"/>
        <w:ind w:left="1134" w:hanging="567"/>
        <w:rPr>
          <w:rFonts w:ascii="Arial" w:hAnsi="Arial"/>
          <w:spacing w:val="-2"/>
          <w:sz w:val="12"/>
          <w:szCs w:val="12"/>
        </w:rPr>
      </w:pPr>
    </w:p>
    <w:p w14:paraId="785F5715" w14:textId="77777777" w:rsidR="0020034E" w:rsidRPr="00BB3611" w:rsidRDefault="0020034E" w:rsidP="007C599E">
      <w:pPr>
        <w:numPr>
          <w:ilvl w:val="1"/>
          <w:numId w:val="10"/>
        </w:numPr>
        <w:spacing w:after="0" w:line="240" w:lineRule="auto"/>
        <w:ind w:left="1701" w:hanging="567"/>
        <w:rPr>
          <w:rFonts w:ascii="Arial" w:hAnsi="Arial"/>
          <w:spacing w:val="-2"/>
          <w:sz w:val="20"/>
          <w:szCs w:val="20"/>
        </w:rPr>
      </w:pPr>
      <w:proofErr w:type="gramStart"/>
      <w:r w:rsidRPr="00BB3611">
        <w:rPr>
          <w:rFonts w:ascii="Arial" w:hAnsi="Arial"/>
          <w:i/>
          <w:spacing w:val="-2"/>
          <w:sz w:val="20"/>
          <w:szCs w:val="20"/>
        </w:rPr>
        <w:t>réaffirme</w:t>
      </w:r>
      <w:proofErr w:type="gramEnd"/>
      <w:r w:rsidRPr="00BB3611">
        <w:rPr>
          <w:rFonts w:ascii="Arial" w:hAnsi="Arial"/>
          <w:spacing w:val="-2"/>
          <w:sz w:val="20"/>
          <w:szCs w:val="20"/>
        </w:rPr>
        <w:t xml:space="preserve"> son soutien à l'Office de secours et de travaux des Nations Unies pour les réfugiés de Palestine dans le Proche-Orient (UNRWA) en tant que fournisseur essentiel d'aide humanitaire, d'éducation et de soins de santé aux Palestiniens ;</w:t>
      </w:r>
    </w:p>
    <w:p w14:paraId="7C9CAEFF" w14:textId="77777777" w:rsidR="0020034E" w:rsidRPr="00BB3611" w:rsidRDefault="0020034E" w:rsidP="007C599E">
      <w:pPr>
        <w:spacing w:after="0" w:line="240" w:lineRule="auto"/>
        <w:ind w:left="1701" w:hanging="567"/>
        <w:rPr>
          <w:rFonts w:ascii="Arial" w:hAnsi="Arial"/>
          <w:spacing w:val="-2"/>
          <w:sz w:val="12"/>
          <w:szCs w:val="12"/>
        </w:rPr>
      </w:pPr>
    </w:p>
    <w:p w14:paraId="21F25BE8" w14:textId="454D2CEB" w:rsidR="0020034E" w:rsidRPr="00BB3611" w:rsidRDefault="0020034E" w:rsidP="007C599E">
      <w:pPr>
        <w:numPr>
          <w:ilvl w:val="1"/>
          <w:numId w:val="10"/>
        </w:numPr>
        <w:spacing w:after="0" w:line="240" w:lineRule="auto"/>
        <w:ind w:left="1701" w:hanging="567"/>
        <w:rPr>
          <w:rFonts w:ascii="Arial" w:hAnsi="Arial"/>
          <w:sz w:val="20"/>
          <w:szCs w:val="20"/>
        </w:rPr>
      </w:pPr>
      <w:proofErr w:type="gramStart"/>
      <w:r w:rsidRPr="00BB3611">
        <w:rPr>
          <w:rFonts w:ascii="Arial" w:hAnsi="Arial"/>
          <w:i/>
          <w:sz w:val="20"/>
          <w:szCs w:val="20"/>
        </w:rPr>
        <w:t>prie</w:t>
      </w:r>
      <w:proofErr w:type="gramEnd"/>
      <w:r w:rsidRPr="00BB3611">
        <w:rPr>
          <w:rFonts w:ascii="Arial" w:hAnsi="Arial"/>
          <w:i/>
          <w:sz w:val="20"/>
          <w:szCs w:val="20"/>
        </w:rPr>
        <w:t xml:space="preserve"> instamment </w:t>
      </w:r>
      <w:r w:rsidRPr="00BB3611">
        <w:rPr>
          <w:rFonts w:ascii="Arial" w:hAnsi="Arial"/>
          <w:sz w:val="20"/>
          <w:szCs w:val="20"/>
        </w:rPr>
        <w:t xml:space="preserve">le Parlement d'Israël de revoir sa décision d'interdire les opérations de l'UNRWA dans le </w:t>
      </w:r>
      <w:r w:rsidR="005B719F" w:rsidRPr="00BB3611">
        <w:rPr>
          <w:rFonts w:ascii="Arial" w:hAnsi="Arial"/>
          <w:sz w:val="20"/>
          <w:szCs w:val="20"/>
        </w:rPr>
        <w:t>T</w:t>
      </w:r>
      <w:r w:rsidRPr="00BB3611">
        <w:rPr>
          <w:rFonts w:ascii="Arial" w:hAnsi="Arial"/>
          <w:sz w:val="20"/>
          <w:szCs w:val="20"/>
        </w:rPr>
        <w:t>erritoire palestinien occupé et de soutenir la mise en œuvre d'initiatives d'éducation à la paix ;</w:t>
      </w:r>
    </w:p>
    <w:p w14:paraId="69BCA314" w14:textId="77777777" w:rsidR="0020034E" w:rsidRPr="00BB3611" w:rsidRDefault="0020034E" w:rsidP="007C599E">
      <w:pPr>
        <w:spacing w:after="0" w:line="240" w:lineRule="auto"/>
        <w:ind w:left="1701" w:hanging="567"/>
        <w:rPr>
          <w:rFonts w:ascii="Arial" w:hAnsi="Arial"/>
          <w:i/>
          <w:iCs/>
          <w:sz w:val="12"/>
          <w:szCs w:val="12"/>
        </w:rPr>
      </w:pPr>
    </w:p>
    <w:p w14:paraId="04C92144" w14:textId="26D9665B" w:rsidR="0020034E" w:rsidRPr="00BB3611" w:rsidRDefault="0020034E" w:rsidP="007C599E">
      <w:pPr>
        <w:spacing w:after="0" w:line="240" w:lineRule="auto"/>
        <w:ind w:left="1701" w:hanging="567"/>
        <w:rPr>
          <w:rFonts w:ascii="Arial" w:hAnsi="Arial"/>
          <w:sz w:val="20"/>
          <w:szCs w:val="20"/>
        </w:rPr>
      </w:pPr>
      <w:r w:rsidRPr="00BB3611">
        <w:rPr>
          <w:rFonts w:ascii="Arial" w:hAnsi="Arial"/>
          <w:iCs/>
          <w:sz w:val="20"/>
          <w:szCs w:val="20"/>
        </w:rPr>
        <w:t>c.</w:t>
      </w:r>
      <w:r w:rsidRPr="00BB3611">
        <w:rPr>
          <w:rFonts w:ascii="Arial" w:hAnsi="Arial"/>
          <w:i/>
          <w:sz w:val="20"/>
          <w:szCs w:val="20"/>
        </w:rPr>
        <w:tab/>
        <w:t>demande</w:t>
      </w:r>
      <w:r w:rsidRPr="00BB3611">
        <w:rPr>
          <w:rFonts w:ascii="Arial" w:hAnsi="Arial"/>
          <w:sz w:val="20"/>
          <w:szCs w:val="20"/>
        </w:rPr>
        <w:t xml:space="preserve"> que les parlements apportent un soutien financier à l'UNRWA et aux autres organisations humanitaires travaillant à Gaza et dans le </w:t>
      </w:r>
      <w:r w:rsidR="005B719F" w:rsidRPr="00BB3611">
        <w:rPr>
          <w:rFonts w:ascii="Arial" w:hAnsi="Arial"/>
          <w:sz w:val="20"/>
          <w:szCs w:val="20"/>
        </w:rPr>
        <w:t>T</w:t>
      </w:r>
      <w:r w:rsidRPr="00BB3611">
        <w:rPr>
          <w:rFonts w:ascii="Arial" w:hAnsi="Arial"/>
          <w:sz w:val="20"/>
          <w:szCs w:val="20"/>
        </w:rPr>
        <w:t>erritoire palestinien occupé afin de soulager les souffrances et de soutenir les efforts de redressement ;</w:t>
      </w:r>
    </w:p>
    <w:p w14:paraId="330DEFDE" w14:textId="77777777" w:rsidR="0020034E" w:rsidRPr="00BB3611" w:rsidRDefault="0020034E" w:rsidP="007C599E">
      <w:pPr>
        <w:spacing w:after="0" w:line="240" w:lineRule="auto"/>
        <w:ind w:left="1134" w:hanging="567"/>
        <w:rPr>
          <w:rFonts w:ascii="Arial" w:hAnsi="Arial"/>
          <w:sz w:val="16"/>
          <w:szCs w:val="16"/>
        </w:rPr>
      </w:pPr>
    </w:p>
    <w:p w14:paraId="38B7DA09" w14:textId="77777777" w:rsidR="0020034E" w:rsidRPr="00BB3611" w:rsidRDefault="0020034E" w:rsidP="007C599E">
      <w:pPr>
        <w:spacing w:after="0" w:line="240" w:lineRule="auto"/>
        <w:ind w:left="1134" w:hanging="567"/>
        <w:rPr>
          <w:rFonts w:ascii="Arial" w:hAnsi="Arial"/>
          <w:sz w:val="20"/>
          <w:szCs w:val="20"/>
        </w:rPr>
      </w:pPr>
      <w:r w:rsidRPr="00BB3611">
        <w:rPr>
          <w:rFonts w:ascii="Arial" w:hAnsi="Arial"/>
          <w:sz w:val="20"/>
          <w:szCs w:val="20"/>
        </w:rPr>
        <w:t>3.</w:t>
      </w:r>
      <w:r w:rsidRPr="00BB3611">
        <w:rPr>
          <w:rFonts w:ascii="Arial" w:hAnsi="Arial"/>
          <w:i/>
          <w:sz w:val="20"/>
          <w:szCs w:val="20"/>
        </w:rPr>
        <w:tab/>
        <w:t>encourage vivement</w:t>
      </w:r>
      <w:r w:rsidRPr="00BB3611">
        <w:rPr>
          <w:rFonts w:ascii="Arial" w:hAnsi="Arial"/>
          <w:sz w:val="20"/>
          <w:szCs w:val="20"/>
        </w:rPr>
        <w:t xml:space="preserve"> les parlements à renforcer le contrôle de la politique étrangère menée par leur gouvernement afin de garantir le respect du droit international, notamment la mise en œuvre de mesures transparentes de contrôle des exportations d'armes, la surveillance des transferts d'armes et d'équipements militaires vers les pays en conflit, et la protection des droits de l'homme ;</w:t>
      </w:r>
    </w:p>
    <w:p w14:paraId="00346291" w14:textId="77777777" w:rsidR="0020034E" w:rsidRPr="00BB3611" w:rsidRDefault="0020034E" w:rsidP="007C599E">
      <w:pPr>
        <w:spacing w:after="0" w:line="240" w:lineRule="auto"/>
        <w:ind w:left="1134" w:hanging="567"/>
        <w:rPr>
          <w:rFonts w:ascii="Arial" w:hAnsi="Arial"/>
          <w:sz w:val="16"/>
          <w:szCs w:val="16"/>
        </w:rPr>
      </w:pPr>
    </w:p>
    <w:p w14:paraId="3C17D043" w14:textId="1FE2AEFA" w:rsidR="0030238F" w:rsidRPr="00625F77" w:rsidRDefault="0020034E" w:rsidP="007C599E">
      <w:pPr>
        <w:widowControl w:val="0"/>
        <w:tabs>
          <w:tab w:val="left" w:pos="1134"/>
          <w:tab w:val="left" w:pos="1809"/>
        </w:tabs>
        <w:autoSpaceDE w:val="0"/>
        <w:autoSpaceDN w:val="0"/>
        <w:spacing w:after="0" w:line="240" w:lineRule="auto"/>
        <w:ind w:left="1134" w:hanging="567"/>
        <w:rPr>
          <w:rFonts w:ascii="Arial" w:hAnsi="Arial" w:cs="Arial"/>
          <w:sz w:val="20"/>
          <w:szCs w:val="20"/>
        </w:rPr>
      </w:pPr>
      <w:r w:rsidRPr="00BB3611">
        <w:rPr>
          <w:rFonts w:ascii="Arial" w:hAnsi="Arial"/>
          <w:sz w:val="20"/>
          <w:szCs w:val="20"/>
        </w:rPr>
        <w:t>4.</w:t>
      </w:r>
      <w:r w:rsidRPr="00625F77">
        <w:rPr>
          <w:rFonts w:ascii="Arial" w:hAnsi="Arial"/>
          <w:sz w:val="20"/>
        </w:rPr>
        <w:tab/>
      </w:r>
      <w:r w:rsidRPr="00625F77">
        <w:rPr>
          <w:rFonts w:ascii="Arial" w:hAnsi="Arial"/>
          <w:i/>
          <w:sz w:val="20"/>
        </w:rPr>
        <w:t>conseille</w:t>
      </w:r>
      <w:r w:rsidRPr="00625F77">
        <w:rPr>
          <w:rFonts w:ascii="Arial" w:hAnsi="Arial"/>
          <w:sz w:val="20"/>
        </w:rPr>
        <w:t xml:space="preserve"> aux parlements de surveiller et de promouvoir le respect des avis consultatifs de la CIJ sur les conséquences juridiques de l'occupation et de la colonisation ;</w:t>
      </w:r>
    </w:p>
    <w:p w14:paraId="4D61C4A8" w14:textId="77777777" w:rsidR="0030238F" w:rsidRPr="00625F77" w:rsidRDefault="0030238F" w:rsidP="007C599E">
      <w:pPr>
        <w:widowControl w:val="0"/>
        <w:tabs>
          <w:tab w:val="left" w:pos="1134"/>
          <w:tab w:val="left" w:pos="1809"/>
        </w:tabs>
        <w:autoSpaceDE w:val="0"/>
        <w:autoSpaceDN w:val="0"/>
        <w:spacing w:after="0" w:line="240" w:lineRule="auto"/>
        <w:ind w:left="1134" w:hanging="567"/>
        <w:rPr>
          <w:rFonts w:ascii="Arial" w:hAnsi="Arial" w:cs="Arial"/>
          <w:sz w:val="20"/>
          <w:szCs w:val="20"/>
        </w:rPr>
      </w:pPr>
    </w:p>
    <w:p w14:paraId="664CF0A9" w14:textId="77777777"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5.</w:t>
      </w:r>
      <w:r w:rsidRPr="00625F77">
        <w:rPr>
          <w:rFonts w:ascii="Arial" w:hAnsi="Arial"/>
          <w:sz w:val="20"/>
        </w:rPr>
        <w:tab/>
      </w:r>
      <w:r w:rsidRPr="00625F77">
        <w:rPr>
          <w:rFonts w:ascii="Arial" w:hAnsi="Arial"/>
          <w:i/>
          <w:sz w:val="20"/>
        </w:rPr>
        <w:t xml:space="preserve">exhorte </w:t>
      </w:r>
      <w:r w:rsidRPr="00625F77">
        <w:rPr>
          <w:rFonts w:ascii="Arial" w:hAnsi="Arial"/>
          <w:sz w:val="20"/>
        </w:rPr>
        <w:t>les parlements à utiliser leurs pouvoirs législatifs pour adopter ou modifier des lois qui renforcent le soutien à une solution à deux États, ce qui permettrait la reconnaissance d'Israël et de la Palestine en tant qu'États souverains indépendants ;</w:t>
      </w:r>
    </w:p>
    <w:p w14:paraId="30B97450" w14:textId="77777777" w:rsidR="0020034E" w:rsidRPr="00625F77" w:rsidRDefault="0020034E" w:rsidP="007C599E">
      <w:pPr>
        <w:pStyle w:val="NormalWeb"/>
        <w:spacing w:before="0" w:beforeAutospacing="0" w:after="0" w:afterAutospacing="0"/>
        <w:ind w:left="1134" w:hanging="567"/>
        <w:rPr>
          <w:rStyle w:val="lev"/>
          <w:rFonts w:ascii="Arial" w:hAnsi="Arial" w:cs="Arial"/>
          <w:b w:val="0"/>
          <w:bCs w:val="0"/>
          <w:sz w:val="20"/>
          <w:szCs w:val="20"/>
          <w:lang w:val="fr-FR"/>
        </w:rPr>
      </w:pPr>
    </w:p>
    <w:p w14:paraId="55AFF0A3" w14:textId="05F8ECD4" w:rsidR="0020034E" w:rsidRPr="00625F77" w:rsidRDefault="0020034E" w:rsidP="007C599E">
      <w:pPr>
        <w:spacing w:after="0" w:line="240" w:lineRule="auto"/>
        <w:ind w:left="1134" w:hanging="567"/>
        <w:rPr>
          <w:rFonts w:ascii="Arial" w:hAnsi="Arial"/>
          <w:sz w:val="20"/>
          <w:szCs w:val="20"/>
        </w:rPr>
      </w:pPr>
      <w:r w:rsidRPr="00625F77">
        <w:rPr>
          <w:rStyle w:val="lev"/>
          <w:rFonts w:ascii="Arial" w:hAnsi="Arial"/>
          <w:b w:val="0"/>
          <w:sz w:val="20"/>
        </w:rPr>
        <w:t>6.</w:t>
      </w:r>
      <w:r w:rsidRPr="00625F77">
        <w:rPr>
          <w:rStyle w:val="lev"/>
          <w:rFonts w:ascii="Arial" w:hAnsi="Arial"/>
          <w:b w:val="0"/>
          <w:sz w:val="20"/>
        </w:rPr>
        <w:tab/>
      </w:r>
      <w:r w:rsidRPr="00625F77">
        <w:rPr>
          <w:rStyle w:val="lev"/>
          <w:rFonts w:ascii="Arial" w:hAnsi="Arial"/>
          <w:b w:val="0"/>
          <w:i/>
          <w:sz w:val="20"/>
        </w:rPr>
        <w:t>invite</w:t>
      </w:r>
      <w:r w:rsidRPr="00625F77">
        <w:t xml:space="preserve"> </w:t>
      </w:r>
      <w:r w:rsidRPr="00625F77">
        <w:rPr>
          <w:rFonts w:ascii="Arial" w:hAnsi="Arial"/>
          <w:sz w:val="20"/>
        </w:rPr>
        <w:t xml:space="preserve">les parlements à demander à leur gouvernement de soutenir la reconnaissance de l'État palestinien, notamment l'adhésion de la Palestine en qualité de </w:t>
      </w:r>
      <w:r w:rsidR="006C6F75">
        <w:rPr>
          <w:rFonts w:ascii="Arial" w:hAnsi="Arial"/>
          <w:sz w:val="20"/>
        </w:rPr>
        <w:t xml:space="preserve">membre </w:t>
      </w:r>
      <w:r w:rsidRPr="00625F77">
        <w:rPr>
          <w:rFonts w:ascii="Arial" w:hAnsi="Arial"/>
          <w:sz w:val="20"/>
        </w:rPr>
        <w:t>à part entière des Nations Unies, en tant qu'étape clé vers une solution à deux États, et de soutenir la mise en œuvre d'un processus de paix global, sous l'égide de l'ONU, en vue de parvenir à une paix juste, durable et globale ;</w:t>
      </w:r>
    </w:p>
    <w:p w14:paraId="59AF734E" w14:textId="77777777" w:rsidR="0020034E" w:rsidRPr="00625F77" w:rsidRDefault="0020034E" w:rsidP="007C599E">
      <w:pPr>
        <w:spacing w:after="0" w:line="240" w:lineRule="auto"/>
        <w:ind w:left="1134" w:hanging="567"/>
        <w:rPr>
          <w:rFonts w:ascii="Arial" w:hAnsi="Arial"/>
          <w:sz w:val="20"/>
          <w:szCs w:val="20"/>
        </w:rPr>
      </w:pPr>
    </w:p>
    <w:p w14:paraId="3AE76C3A" w14:textId="1E9C5942"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7.</w:t>
      </w:r>
      <w:r w:rsidRPr="00625F77">
        <w:rPr>
          <w:rFonts w:ascii="Arial" w:hAnsi="Arial"/>
          <w:i/>
          <w:sz w:val="20"/>
        </w:rPr>
        <w:tab/>
        <w:t xml:space="preserve">exprime l'espoir </w:t>
      </w:r>
      <w:r w:rsidRPr="00625F77">
        <w:rPr>
          <w:rFonts w:ascii="Arial" w:hAnsi="Arial"/>
          <w:sz w:val="20"/>
        </w:rPr>
        <w:t xml:space="preserve">que la diplomatie parlementaire puisse être renforcée pour faciliter le dialogue entre les représentants israéliens et palestiniens, soutenir la solution à deux États et favoriser la coexistence pacifique entre les peuples israélien et palestinien, grâce à une collaboration directe avec les institutions et les réseaux interparlementaires, les forums parlementaires multilatéraux et les </w:t>
      </w:r>
      <w:r w:rsidR="00AB62E8">
        <w:rPr>
          <w:rFonts w:ascii="Arial" w:hAnsi="Arial"/>
          <w:sz w:val="20"/>
        </w:rPr>
        <w:t>institutions</w:t>
      </w:r>
      <w:r w:rsidR="00AF0062" w:rsidRPr="00625F77">
        <w:rPr>
          <w:rFonts w:ascii="Arial" w:hAnsi="Arial"/>
          <w:sz w:val="20"/>
        </w:rPr>
        <w:t xml:space="preserve"> </w:t>
      </w:r>
      <w:r w:rsidRPr="00625F77">
        <w:rPr>
          <w:rFonts w:ascii="Arial" w:hAnsi="Arial"/>
          <w:sz w:val="20"/>
        </w:rPr>
        <w:t>compétent</w:t>
      </w:r>
      <w:r w:rsidR="00AF0062">
        <w:rPr>
          <w:rFonts w:ascii="Arial" w:hAnsi="Arial"/>
          <w:sz w:val="20"/>
        </w:rPr>
        <w:t>e</w:t>
      </w:r>
      <w:r w:rsidRPr="00625F77">
        <w:rPr>
          <w:rFonts w:ascii="Arial" w:hAnsi="Arial"/>
          <w:sz w:val="20"/>
        </w:rPr>
        <w:t>s des Nations Unies ;</w:t>
      </w:r>
    </w:p>
    <w:p w14:paraId="5B2FAE55" w14:textId="77777777" w:rsidR="0020034E" w:rsidRPr="00625F77" w:rsidRDefault="0020034E" w:rsidP="007C599E">
      <w:pPr>
        <w:spacing w:after="0" w:line="240" w:lineRule="auto"/>
        <w:ind w:left="1134" w:hanging="567"/>
        <w:rPr>
          <w:rFonts w:ascii="Arial" w:hAnsi="Arial"/>
          <w:sz w:val="20"/>
          <w:szCs w:val="20"/>
        </w:rPr>
      </w:pPr>
    </w:p>
    <w:p w14:paraId="4F3FD4BC" w14:textId="32D4148D"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8.</w:t>
      </w:r>
      <w:r w:rsidRPr="00625F77">
        <w:rPr>
          <w:rFonts w:ascii="Arial" w:hAnsi="Arial"/>
          <w:i/>
          <w:sz w:val="20"/>
        </w:rPr>
        <w:tab/>
        <w:t xml:space="preserve">encourage vivement </w:t>
      </w:r>
      <w:r w:rsidRPr="00625F77">
        <w:rPr>
          <w:rFonts w:ascii="Arial" w:hAnsi="Arial"/>
          <w:sz w:val="20"/>
        </w:rPr>
        <w:t xml:space="preserve">les </w:t>
      </w:r>
      <w:r w:rsidR="006C6F75">
        <w:rPr>
          <w:rFonts w:ascii="Arial" w:hAnsi="Arial"/>
          <w:sz w:val="20"/>
        </w:rPr>
        <w:t xml:space="preserve">parlements </w:t>
      </w:r>
      <w:r w:rsidRPr="00625F77">
        <w:rPr>
          <w:rFonts w:ascii="Arial" w:hAnsi="Arial"/>
          <w:sz w:val="20"/>
        </w:rPr>
        <w:t>d'Israël et de Palestine à pratiquer la diplomatie parlementaire indirecte par l'entremise de tiers neutres tels que l'UIP, afin de promouvoir le dialogue et la coopération sur des questions d'intérêt commun, notamment la sécurité, la santé, l'éducation, l'accès humanitaire, le développement économique et la protection de l'environnement ;</w:t>
      </w:r>
    </w:p>
    <w:p w14:paraId="5ED112AD" w14:textId="77777777" w:rsidR="0020034E" w:rsidRPr="00625F77" w:rsidRDefault="0020034E" w:rsidP="007C599E">
      <w:pPr>
        <w:spacing w:after="0" w:line="240" w:lineRule="auto"/>
        <w:ind w:left="1134" w:hanging="567"/>
        <w:rPr>
          <w:rFonts w:ascii="Arial" w:hAnsi="Arial"/>
          <w:sz w:val="20"/>
          <w:szCs w:val="20"/>
        </w:rPr>
      </w:pPr>
    </w:p>
    <w:p w14:paraId="15C663A5" w14:textId="77777777"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9.</w:t>
      </w:r>
      <w:r w:rsidRPr="00625F77">
        <w:rPr>
          <w:rFonts w:ascii="Arial" w:hAnsi="Arial"/>
          <w:i/>
          <w:sz w:val="20"/>
        </w:rPr>
        <w:tab/>
        <w:t>invite</w:t>
      </w:r>
      <w:r w:rsidRPr="00625F77">
        <w:rPr>
          <w:rFonts w:ascii="Arial" w:hAnsi="Arial"/>
          <w:sz w:val="20"/>
        </w:rPr>
        <w:t xml:space="preserve"> les parlements à apporter un soutien financier et technique aux processus électoraux en Palestine et à leur suivi en temps utile, afin de permettre la tenue d'élections régulières, libres, équitables et transparentes, et de promouvoir la démocratie, la bonne gouvernance, la paix et la sécurité ;</w:t>
      </w:r>
    </w:p>
    <w:p w14:paraId="76E980E3" w14:textId="77777777" w:rsidR="0020034E" w:rsidRPr="00625F77" w:rsidRDefault="0020034E" w:rsidP="007C599E">
      <w:pPr>
        <w:spacing w:after="0" w:line="240" w:lineRule="auto"/>
        <w:ind w:left="1134" w:hanging="567"/>
        <w:rPr>
          <w:rFonts w:ascii="Arial" w:hAnsi="Arial"/>
          <w:sz w:val="20"/>
          <w:szCs w:val="20"/>
        </w:rPr>
      </w:pPr>
    </w:p>
    <w:p w14:paraId="77027D65" w14:textId="77777777"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10.</w:t>
      </w:r>
      <w:r w:rsidRPr="00625F77">
        <w:rPr>
          <w:rFonts w:ascii="Arial" w:hAnsi="Arial"/>
          <w:sz w:val="20"/>
        </w:rPr>
        <w:tab/>
      </w:r>
      <w:r w:rsidRPr="00625F77">
        <w:rPr>
          <w:rFonts w:ascii="Arial" w:hAnsi="Arial"/>
          <w:i/>
          <w:sz w:val="20"/>
        </w:rPr>
        <w:t>exhorte</w:t>
      </w:r>
      <w:r w:rsidRPr="00625F77">
        <w:rPr>
          <w:rFonts w:ascii="Arial" w:hAnsi="Arial"/>
          <w:sz w:val="20"/>
        </w:rPr>
        <w:t xml:space="preserve"> les parlements à participer à la surveillance de la situation politique et des processus électoraux en Israël et en Palestine, et l'UIP à faciliter et à coordonner cette surveillance, notamment par le déploiement de missions d'observation électorale ;</w:t>
      </w:r>
    </w:p>
    <w:p w14:paraId="3591927D" w14:textId="77777777" w:rsidR="0020034E" w:rsidRPr="00625F77" w:rsidRDefault="0020034E" w:rsidP="007C599E">
      <w:pPr>
        <w:spacing w:after="0" w:line="240" w:lineRule="auto"/>
        <w:ind w:left="1134" w:hanging="567"/>
        <w:rPr>
          <w:rFonts w:ascii="Arial" w:hAnsi="Arial"/>
          <w:sz w:val="20"/>
          <w:szCs w:val="20"/>
        </w:rPr>
      </w:pPr>
    </w:p>
    <w:p w14:paraId="2CAD968F" w14:textId="7B2E8938"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11.</w:t>
      </w:r>
      <w:r w:rsidRPr="00625F77">
        <w:rPr>
          <w:rFonts w:ascii="Arial" w:hAnsi="Arial"/>
          <w:sz w:val="20"/>
        </w:rPr>
        <w:tab/>
      </w:r>
      <w:r w:rsidRPr="00625F77">
        <w:rPr>
          <w:rFonts w:ascii="Arial" w:hAnsi="Arial"/>
          <w:i/>
          <w:sz w:val="20"/>
        </w:rPr>
        <w:t>demande</w:t>
      </w:r>
      <w:r w:rsidRPr="00625F77">
        <w:rPr>
          <w:rFonts w:ascii="Arial" w:hAnsi="Arial"/>
          <w:sz w:val="20"/>
        </w:rPr>
        <w:t xml:space="preserve"> aux parlements, y compris aux instances parlementaires régionales, de fournir une assistance technique, notamment un soutien au renforcement des capacités législatives des </w:t>
      </w:r>
      <w:r w:rsidR="006C6F75">
        <w:rPr>
          <w:rFonts w:ascii="Arial" w:hAnsi="Arial"/>
          <w:sz w:val="20"/>
        </w:rPr>
        <w:t xml:space="preserve">parlements </w:t>
      </w:r>
      <w:r w:rsidRPr="00625F77">
        <w:rPr>
          <w:rFonts w:ascii="Arial" w:hAnsi="Arial"/>
          <w:sz w:val="20"/>
        </w:rPr>
        <w:t>d'Israël et de Palestine, et à l'UIP de faciliter et de coordonner cette assistance, afin de raffermir leurs principales fonctions parlementaires pour soutenir la paix, la démocratie et la solution à deux États, notamment la promotion du renforcement de l'État et de l'état de droit, la réforme législative, le contrôle de l'action gouvernementale, la mobilisation des citoyens et la participation effective aux processus internationaux de consolidation de la paix ;</w:t>
      </w:r>
    </w:p>
    <w:p w14:paraId="1A75BAED" w14:textId="77777777" w:rsidR="0020034E" w:rsidRPr="00625F77" w:rsidRDefault="0020034E" w:rsidP="007C599E">
      <w:pPr>
        <w:spacing w:after="0" w:line="240" w:lineRule="auto"/>
        <w:ind w:left="1134" w:hanging="567"/>
        <w:rPr>
          <w:rFonts w:ascii="Arial" w:hAnsi="Arial"/>
          <w:sz w:val="20"/>
          <w:szCs w:val="20"/>
        </w:rPr>
      </w:pPr>
    </w:p>
    <w:p w14:paraId="3190DACF" w14:textId="062BEE9D"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12.</w:t>
      </w:r>
      <w:r w:rsidRPr="00625F77">
        <w:rPr>
          <w:rFonts w:ascii="Arial" w:hAnsi="Arial"/>
          <w:sz w:val="20"/>
        </w:rPr>
        <w:tab/>
      </w:r>
      <w:r w:rsidRPr="00625F77">
        <w:rPr>
          <w:rFonts w:ascii="Arial" w:hAnsi="Arial"/>
          <w:i/>
          <w:sz w:val="20"/>
        </w:rPr>
        <w:t>invite</w:t>
      </w:r>
      <w:r w:rsidRPr="00625F77">
        <w:rPr>
          <w:rFonts w:ascii="Arial" w:hAnsi="Arial"/>
          <w:sz w:val="20"/>
        </w:rPr>
        <w:t xml:space="preserve"> les organes parlementaires régionaux à mettre à profit leur position singulière pour diffuser les bonnes pratiques qui favorisent la coopération transfrontière et les actions conjointes concernant le développement économique et les défis communs, comme la gestion de l'eau et la protection de l'environnement, afin de soutenir la diplomatie parlementaire et de promouvoir la paix </w:t>
      </w:r>
      <w:r w:rsidR="00E36951">
        <w:rPr>
          <w:rFonts w:ascii="Arial" w:hAnsi="Arial"/>
          <w:sz w:val="20"/>
        </w:rPr>
        <w:t xml:space="preserve">au </w:t>
      </w:r>
      <w:r w:rsidRPr="00625F77">
        <w:rPr>
          <w:rFonts w:ascii="Arial" w:hAnsi="Arial"/>
          <w:sz w:val="20"/>
        </w:rPr>
        <w:t>Moyen-Orient ;</w:t>
      </w:r>
    </w:p>
    <w:p w14:paraId="1D270055" w14:textId="77777777" w:rsidR="0020034E" w:rsidRPr="00625F77" w:rsidRDefault="0020034E" w:rsidP="007C599E">
      <w:pPr>
        <w:spacing w:after="0" w:line="240" w:lineRule="auto"/>
        <w:ind w:left="1134" w:hanging="567"/>
        <w:rPr>
          <w:rFonts w:ascii="Arial" w:hAnsi="Arial"/>
          <w:sz w:val="20"/>
          <w:szCs w:val="20"/>
        </w:rPr>
      </w:pPr>
    </w:p>
    <w:p w14:paraId="7C447B24" w14:textId="31F5D864"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13.</w:t>
      </w:r>
      <w:r w:rsidRPr="00625F77">
        <w:rPr>
          <w:rFonts w:ascii="Arial" w:hAnsi="Arial"/>
          <w:sz w:val="20"/>
        </w:rPr>
        <w:tab/>
      </w:r>
      <w:r w:rsidRPr="00625F77">
        <w:rPr>
          <w:rFonts w:ascii="Arial" w:hAnsi="Arial"/>
          <w:i/>
          <w:sz w:val="20"/>
        </w:rPr>
        <w:t>encourage</w:t>
      </w:r>
      <w:r w:rsidRPr="00625F77">
        <w:rPr>
          <w:rFonts w:ascii="Arial" w:hAnsi="Arial"/>
          <w:sz w:val="20"/>
        </w:rPr>
        <w:t xml:space="preserve"> les </w:t>
      </w:r>
      <w:r w:rsidR="006C6F75">
        <w:rPr>
          <w:rFonts w:ascii="Arial" w:hAnsi="Arial"/>
          <w:sz w:val="20"/>
        </w:rPr>
        <w:t xml:space="preserve">parlements </w:t>
      </w:r>
      <w:r w:rsidRPr="00625F77">
        <w:rPr>
          <w:rFonts w:ascii="Arial" w:hAnsi="Arial"/>
          <w:sz w:val="20"/>
        </w:rPr>
        <w:t>d'Israël et de Palestine à adopter et à mettre en œuvre une législation et des politiques sensibles au genre qui protègent les droits et la dignité des femmes et des filles, qui permettent de lutter contre la violence sexiste</w:t>
      </w:r>
      <w:r w:rsidR="00C34C66">
        <w:rPr>
          <w:rFonts w:ascii="Arial" w:hAnsi="Arial"/>
          <w:sz w:val="20"/>
        </w:rPr>
        <w:t>,</w:t>
      </w:r>
      <w:r w:rsidRPr="00625F77">
        <w:rPr>
          <w:rFonts w:ascii="Arial" w:hAnsi="Arial"/>
          <w:sz w:val="20"/>
        </w:rPr>
        <w:t xml:space="preserve"> et qui promeuvent le rôle des femmes en tant que bâtisseuses de paix ;</w:t>
      </w:r>
    </w:p>
    <w:p w14:paraId="6A35121B" w14:textId="77777777" w:rsidR="0020034E" w:rsidRPr="00625F77" w:rsidRDefault="0020034E" w:rsidP="007C599E">
      <w:pPr>
        <w:spacing w:after="0" w:line="240" w:lineRule="auto"/>
        <w:ind w:left="1134" w:hanging="567"/>
        <w:rPr>
          <w:rFonts w:ascii="Arial" w:hAnsi="Arial"/>
          <w:sz w:val="20"/>
          <w:szCs w:val="20"/>
        </w:rPr>
      </w:pPr>
    </w:p>
    <w:p w14:paraId="110483BB" w14:textId="77777777"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14.</w:t>
      </w:r>
      <w:r w:rsidRPr="00625F77">
        <w:rPr>
          <w:rFonts w:ascii="Arial" w:hAnsi="Arial"/>
          <w:sz w:val="20"/>
        </w:rPr>
        <w:tab/>
      </w:r>
      <w:r w:rsidRPr="00625F77">
        <w:rPr>
          <w:rFonts w:ascii="Arial" w:hAnsi="Arial"/>
          <w:i/>
          <w:sz w:val="20"/>
        </w:rPr>
        <w:t xml:space="preserve">exhorte </w:t>
      </w:r>
      <w:r w:rsidRPr="00625F77">
        <w:rPr>
          <w:rFonts w:ascii="Arial" w:hAnsi="Arial"/>
          <w:sz w:val="20"/>
        </w:rPr>
        <w:t>les parlements à promouvoir, au Moyen-Orient, la mise en place d'initiatives destinées à soutenir l'éducation à la paix, l'autonomisation des jeunes, les programmes de lutte contre la violence visant à favoriser une culture de paix et de coexistence, la compréhension mutuelle, notamment par le dialogue interconfessionnel et interculturel, et la prévention de l'extrémisme violent, tout en accordant la priorité aux principes énoncés dans le programme pour les femmes et la paix et la sécurité et celui relatif aux jeunes et à la paix et à la sécurité ;</w:t>
      </w:r>
    </w:p>
    <w:p w14:paraId="753E6250" w14:textId="77777777" w:rsidR="0020034E" w:rsidRPr="00625F77" w:rsidRDefault="0020034E" w:rsidP="007C599E">
      <w:pPr>
        <w:spacing w:after="0" w:line="240" w:lineRule="auto"/>
        <w:ind w:left="1134" w:hanging="567"/>
        <w:rPr>
          <w:rFonts w:ascii="Arial" w:hAnsi="Arial"/>
          <w:sz w:val="20"/>
          <w:szCs w:val="20"/>
        </w:rPr>
      </w:pPr>
    </w:p>
    <w:p w14:paraId="754E9EE8" w14:textId="33FA610A" w:rsidR="0020034E" w:rsidRPr="00625F77" w:rsidRDefault="0020034E" w:rsidP="007C599E">
      <w:pPr>
        <w:spacing w:after="0" w:line="240" w:lineRule="auto"/>
        <w:ind w:left="1134" w:hanging="567"/>
        <w:rPr>
          <w:rFonts w:ascii="Arial" w:hAnsi="Arial"/>
          <w:sz w:val="20"/>
          <w:szCs w:val="20"/>
        </w:rPr>
      </w:pPr>
      <w:r w:rsidRPr="00625F77">
        <w:rPr>
          <w:rFonts w:ascii="Arial" w:hAnsi="Arial"/>
          <w:sz w:val="20"/>
        </w:rPr>
        <w:t>15.</w:t>
      </w:r>
      <w:r w:rsidRPr="00625F77">
        <w:rPr>
          <w:rFonts w:ascii="Arial" w:hAnsi="Arial"/>
          <w:sz w:val="20"/>
        </w:rPr>
        <w:tab/>
      </w:r>
      <w:r w:rsidRPr="00C34C66">
        <w:rPr>
          <w:rFonts w:ascii="Arial" w:hAnsi="Arial"/>
          <w:i/>
          <w:sz w:val="20"/>
        </w:rPr>
        <w:t>e</w:t>
      </w:r>
      <w:r w:rsidRPr="00625F77">
        <w:rPr>
          <w:rFonts w:ascii="Arial" w:hAnsi="Arial"/>
          <w:i/>
          <w:sz w:val="20"/>
        </w:rPr>
        <w:t>xhorte également</w:t>
      </w:r>
      <w:r w:rsidRPr="00625F77">
        <w:rPr>
          <w:rFonts w:ascii="Arial" w:hAnsi="Arial"/>
          <w:sz w:val="20"/>
        </w:rPr>
        <w:t xml:space="preserve"> les parlements à promouvoir une </w:t>
      </w:r>
      <w:bookmarkStart w:id="13" w:name="_Hlk187409358"/>
      <w:r w:rsidRPr="00625F77">
        <w:rPr>
          <w:rFonts w:ascii="Arial" w:hAnsi="Arial"/>
          <w:sz w:val="20"/>
        </w:rPr>
        <w:t xml:space="preserve">approche </w:t>
      </w:r>
      <w:r w:rsidR="00C34C66">
        <w:rPr>
          <w:rFonts w:ascii="Arial" w:hAnsi="Arial"/>
          <w:sz w:val="20"/>
        </w:rPr>
        <w:t xml:space="preserve">fondée sur la </w:t>
      </w:r>
      <w:r w:rsidR="00C34C66" w:rsidRPr="00625F77">
        <w:rPr>
          <w:rFonts w:ascii="Arial" w:hAnsi="Arial"/>
          <w:sz w:val="20"/>
        </w:rPr>
        <w:t xml:space="preserve">sécurité </w:t>
      </w:r>
      <w:r w:rsidRPr="00625F77">
        <w:rPr>
          <w:rFonts w:ascii="Arial" w:hAnsi="Arial"/>
          <w:sz w:val="20"/>
        </w:rPr>
        <w:t xml:space="preserve">commune </w:t>
      </w:r>
      <w:bookmarkEnd w:id="13"/>
      <w:r w:rsidRPr="00625F77">
        <w:rPr>
          <w:rFonts w:ascii="Arial" w:hAnsi="Arial"/>
          <w:sz w:val="20"/>
        </w:rPr>
        <w:t>dans la recherche d'une solution à deux États, en tenant compte du fait que la sécurité du peuple israélien et celle du peuple palestinien sont interdépendantes, et à prendre des mesures visant à renforcer la confiance mutuelle, à assurer la protection des civils et à prévenir les actions qui exacerbent les tensions ;</w:t>
      </w:r>
    </w:p>
    <w:p w14:paraId="64331042" w14:textId="77777777" w:rsidR="0020034E" w:rsidRPr="00625F77" w:rsidRDefault="0020034E" w:rsidP="007C599E">
      <w:pPr>
        <w:spacing w:after="0" w:line="240" w:lineRule="auto"/>
        <w:ind w:left="1134" w:hanging="567"/>
        <w:rPr>
          <w:rFonts w:ascii="Arial" w:hAnsi="Arial"/>
          <w:sz w:val="20"/>
          <w:szCs w:val="20"/>
        </w:rPr>
      </w:pPr>
    </w:p>
    <w:p w14:paraId="16039610" w14:textId="79BDBADA" w:rsidR="0020034E" w:rsidRPr="00625F77" w:rsidRDefault="0020034E" w:rsidP="007C599E">
      <w:pPr>
        <w:spacing w:after="0" w:line="240" w:lineRule="auto"/>
        <w:ind w:left="1134" w:hanging="567"/>
        <w:rPr>
          <w:rFonts w:ascii="Arial" w:hAnsi="Arial"/>
          <w:i/>
          <w:iCs/>
          <w:sz w:val="20"/>
          <w:szCs w:val="20"/>
        </w:rPr>
      </w:pPr>
      <w:r w:rsidRPr="00625F77">
        <w:rPr>
          <w:rFonts w:ascii="Arial" w:hAnsi="Arial"/>
          <w:sz w:val="20"/>
        </w:rPr>
        <w:t>16.</w:t>
      </w:r>
      <w:r w:rsidRPr="00625F77">
        <w:rPr>
          <w:rFonts w:ascii="Arial" w:hAnsi="Arial"/>
          <w:sz w:val="20"/>
        </w:rPr>
        <w:tab/>
      </w:r>
      <w:r w:rsidRPr="00625F77">
        <w:rPr>
          <w:rFonts w:ascii="Arial" w:hAnsi="Arial"/>
          <w:i/>
          <w:sz w:val="20"/>
        </w:rPr>
        <w:t>demande</w:t>
      </w:r>
      <w:r w:rsidRPr="00625F77">
        <w:rPr>
          <w:rFonts w:ascii="Arial" w:hAnsi="Arial"/>
          <w:sz w:val="20"/>
        </w:rPr>
        <w:t xml:space="preserve"> aux </w:t>
      </w:r>
      <w:r w:rsidR="00E36951">
        <w:rPr>
          <w:rFonts w:ascii="Arial" w:hAnsi="Arial"/>
          <w:sz w:val="20"/>
        </w:rPr>
        <w:t xml:space="preserve">parlements </w:t>
      </w:r>
      <w:r w:rsidRPr="00625F77">
        <w:rPr>
          <w:rFonts w:ascii="Arial" w:hAnsi="Arial"/>
          <w:sz w:val="20"/>
        </w:rPr>
        <w:t>d'Israël et de Palestine d'adopter dans leur travail quotidien une approche fondée sur la sécurité humaine, en accordant la priorité à la protection et au bien-être des individus et des populations des deux parties et en s'attaquant aux causes profondes de l'insécurité, notamment la pauvreté, les déplacements de population et les inégalités, afin de soutenir la paix, la stabilité, la dignité et la mise en œuvre d'une solution à deux États durable ;</w:t>
      </w:r>
    </w:p>
    <w:p w14:paraId="22A08E60" w14:textId="77777777" w:rsidR="0020034E" w:rsidRPr="00625F77" w:rsidRDefault="0020034E" w:rsidP="007C599E">
      <w:pPr>
        <w:pStyle w:val="Paragraphedeliste"/>
        <w:spacing w:after="0" w:line="240" w:lineRule="auto"/>
        <w:ind w:left="1134" w:hanging="567"/>
        <w:rPr>
          <w:rFonts w:ascii="Arial" w:hAnsi="Arial"/>
          <w:sz w:val="20"/>
          <w:szCs w:val="20"/>
          <w:lang w:val="fr-FR"/>
        </w:rPr>
      </w:pPr>
    </w:p>
    <w:p w14:paraId="650AF1C0" w14:textId="7C29EE03" w:rsidR="0030238F" w:rsidRPr="00625F77" w:rsidRDefault="0020034E" w:rsidP="007C599E">
      <w:pPr>
        <w:widowControl w:val="0"/>
        <w:tabs>
          <w:tab w:val="left" w:pos="1134"/>
          <w:tab w:val="left" w:pos="1809"/>
        </w:tabs>
        <w:autoSpaceDE w:val="0"/>
        <w:autoSpaceDN w:val="0"/>
        <w:spacing w:after="0" w:line="240" w:lineRule="auto"/>
        <w:ind w:left="1134" w:hanging="567"/>
        <w:rPr>
          <w:rFonts w:ascii="Arial" w:hAnsi="Arial" w:cs="Arial"/>
          <w:sz w:val="20"/>
          <w:szCs w:val="20"/>
        </w:rPr>
      </w:pPr>
      <w:r w:rsidRPr="00625F77">
        <w:rPr>
          <w:rFonts w:ascii="Arial" w:hAnsi="Arial"/>
          <w:sz w:val="20"/>
        </w:rPr>
        <w:t>17.</w:t>
      </w:r>
      <w:r w:rsidRPr="00625F77">
        <w:rPr>
          <w:rFonts w:ascii="Arial" w:hAnsi="Arial"/>
          <w:sz w:val="20"/>
        </w:rPr>
        <w:tab/>
      </w:r>
      <w:r w:rsidRPr="00625F77">
        <w:rPr>
          <w:rFonts w:ascii="Arial" w:hAnsi="Arial"/>
          <w:i/>
          <w:sz w:val="20"/>
        </w:rPr>
        <w:t xml:space="preserve">recommande </w:t>
      </w:r>
      <w:r w:rsidRPr="00625F77">
        <w:rPr>
          <w:rFonts w:ascii="Arial" w:hAnsi="Arial"/>
          <w:sz w:val="20"/>
        </w:rPr>
        <w:t>à l'UIP de faire évoluer son Comité sur les questions relatives au Moyen-Orient en un Groupe</w:t>
      </w:r>
      <w:r w:rsidR="00F649F1">
        <w:rPr>
          <w:rFonts w:ascii="Arial" w:hAnsi="Arial"/>
          <w:sz w:val="20"/>
        </w:rPr>
        <w:t xml:space="preserve"> de travail</w:t>
      </w:r>
      <w:r w:rsidRPr="00625F77">
        <w:rPr>
          <w:rFonts w:ascii="Arial" w:hAnsi="Arial"/>
          <w:sz w:val="20"/>
        </w:rPr>
        <w:t xml:space="preserve"> stratégique sur le Moyen-Orient, composé d'un nombre égal de représentants de tous les groupes géopolitiques de l'UIP, avec pour mandat de promouvoir le dialogue et de faciliter la diplomatie parlementaire indirecte entre les </w:t>
      </w:r>
      <w:r w:rsidR="00E36951">
        <w:rPr>
          <w:rFonts w:ascii="Arial" w:hAnsi="Arial"/>
          <w:sz w:val="20"/>
        </w:rPr>
        <w:t>parlements</w:t>
      </w:r>
      <w:r w:rsidR="0030676E" w:rsidRPr="00625F77">
        <w:rPr>
          <w:rFonts w:ascii="Arial" w:hAnsi="Arial"/>
          <w:sz w:val="20"/>
        </w:rPr>
        <w:t xml:space="preserve"> </w:t>
      </w:r>
      <w:r w:rsidRPr="00625F77">
        <w:rPr>
          <w:rFonts w:ascii="Arial" w:hAnsi="Arial"/>
          <w:sz w:val="20"/>
        </w:rPr>
        <w:t>d'Israël et de Palestine, et de surveiller et faire rapport sur les engagements relatifs à l'accès humanitaire, à la protection des groupes vulnérables et à l'éducation à la paix, ainsi que sur les mesures prises pour parvenir à une solution à deux États, en tenant compte des répercussions du conflit au niveau mondial.</w:t>
      </w:r>
      <w:r w:rsidR="0030238F" w:rsidRPr="00625F77">
        <w:rPr>
          <w:rFonts w:ascii="Arial" w:hAnsi="Arial" w:cs="Arial"/>
          <w:sz w:val="20"/>
          <w:szCs w:val="20"/>
        </w:rPr>
        <w:tab/>
      </w:r>
    </w:p>
    <w:p w14:paraId="51D445D6" w14:textId="77777777" w:rsidR="0030238F" w:rsidRPr="00E430BA" w:rsidRDefault="0030238F" w:rsidP="007C599E">
      <w:pPr>
        <w:widowControl w:val="0"/>
        <w:tabs>
          <w:tab w:val="left" w:pos="1134"/>
          <w:tab w:val="left" w:pos="1809"/>
        </w:tabs>
        <w:autoSpaceDE w:val="0"/>
        <w:autoSpaceDN w:val="0"/>
        <w:spacing w:after="0" w:line="240" w:lineRule="auto"/>
        <w:ind w:left="1134" w:hanging="567"/>
        <w:rPr>
          <w:rFonts w:ascii="Arial" w:hAnsi="Arial" w:cs="Arial"/>
          <w:sz w:val="20"/>
          <w:szCs w:val="20"/>
        </w:rPr>
      </w:pPr>
    </w:p>
    <w:sectPr w:rsidR="0030238F" w:rsidRPr="00E430BA" w:rsidSect="00BB3611">
      <w:headerReference w:type="default" r:id="rId24"/>
      <w:footerReference w:type="default" r:id="rId25"/>
      <w:pgSz w:w="11906" w:h="16838" w:code="9"/>
      <w:pgMar w:top="1418"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6F4D" w14:textId="77777777" w:rsidR="0008568C" w:rsidRPr="00625F77" w:rsidRDefault="0008568C" w:rsidP="00855326">
      <w:pPr>
        <w:spacing w:after="0" w:line="240" w:lineRule="auto"/>
      </w:pPr>
      <w:r w:rsidRPr="00625F77">
        <w:separator/>
      </w:r>
    </w:p>
  </w:endnote>
  <w:endnote w:type="continuationSeparator" w:id="0">
    <w:p w14:paraId="7DBE0A90" w14:textId="77777777" w:rsidR="0008568C" w:rsidRPr="00625F77" w:rsidRDefault="0008568C" w:rsidP="00855326">
      <w:pPr>
        <w:spacing w:after="0" w:line="240" w:lineRule="auto"/>
      </w:pPr>
      <w:r w:rsidRPr="00625F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E659" w14:textId="0F23E7F2" w:rsidR="0099409A" w:rsidRPr="00625F77" w:rsidRDefault="002320D4" w:rsidP="002320D4">
    <w:pPr>
      <w:tabs>
        <w:tab w:val="left" w:pos="-142"/>
        <w:tab w:val="left" w:pos="0"/>
        <w:tab w:val="center" w:pos="4320"/>
        <w:tab w:val="right" w:pos="8640"/>
      </w:tabs>
      <w:spacing w:after="0" w:line="240" w:lineRule="auto"/>
      <w:ind w:left="-1276"/>
      <w:rPr>
        <w:rFonts w:ascii="Arial" w:eastAsia="MS Mincho" w:hAnsi="Arial" w:cs="Arial"/>
        <w:b/>
        <w:color w:val="00AABE"/>
        <w:sz w:val="32"/>
        <w:szCs w:val="32"/>
      </w:rPr>
    </w:pPr>
    <w:bookmarkStart w:id="2" w:name="_Hlk119491489"/>
    <w:bookmarkStart w:id="3" w:name="_Hlk119491490"/>
    <w:bookmarkStart w:id="4" w:name="_Hlk119491497"/>
    <w:bookmarkStart w:id="5" w:name="_Hlk119491498"/>
    <w:bookmarkStart w:id="6" w:name="_Hlk119491499"/>
    <w:bookmarkStart w:id="7" w:name="_Hlk119491500"/>
    <w:bookmarkStart w:id="8" w:name="_Hlk119491501"/>
    <w:bookmarkStart w:id="9" w:name="_Hlk119491502"/>
    <w:bookmarkStart w:id="10" w:name="_Hlk150758106"/>
    <w:bookmarkStart w:id="11" w:name="_Hlk150758107"/>
    <w:r w:rsidRPr="00625F77">
      <w:rPr>
        <w:rFonts w:ascii="Arial" w:eastAsia="MS Mincho" w:hAnsi="Arial" w:cs="Arial"/>
        <w:b/>
        <w:noProof/>
        <w:color w:val="00AABE"/>
        <w:sz w:val="32"/>
        <w:szCs w:val="32"/>
        <w:lang w:eastAsia="fr-FR"/>
      </w:rPr>
      <w:drawing>
        <wp:anchor distT="0" distB="0" distL="114300" distR="114300" simplePos="0" relativeHeight="251659264" behindDoc="1" locked="0" layoutInCell="1" allowOverlap="1" wp14:anchorId="451B356A" wp14:editId="3FDD01D8">
          <wp:simplePos x="0" y="0"/>
          <wp:positionH relativeFrom="column">
            <wp:posOffset>-1090930</wp:posOffset>
          </wp:positionH>
          <wp:positionV relativeFrom="paragraph">
            <wp:posOffset>-675005</wp:posOffset>
          </wp:positionV>
          <wp:extent cx="5940000" cy="818621"/>
          <wp:effectExtent l="0" t="0" r="3810" b="0"/>
          <wp:wrapNone/>
          <wp:docPr id="6" name="Picture 6"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blanc, conception&#10;&#10;Description générée automatiquement"/>
                  <pic:cNvPicPr/>
                </pic:nvPicPr>
                <pic:blipFill>
                  <a:blip r:embed="rId1"/>
                  <a:stretch>
                    <a:fillRect/>
                  </a:stretch>
                </pic:blipFill>
                <pic:spPr>
                  <a:xfrm>
                    <a:off x="0" y="0"/>
                    <a:ext cx="5940000" cy="818621"/>
                  </a:xfrm>
                  <a:prstGeom prst="rect">
                    <a:avLst/>
                  </a:prstGeom>
                </pic:spPr>
              </pic:pic>
            </a:graphicData>
          </a:graphic>
          <wp14:sizeRelH relativeFrom="margin">
            <wp14:pctWidth>0</wp14:pctWidth>
          </wp14:sizeRelH>
          <wp14:sizeRelV relativeFrom="margin">
            <wp14:pctHeight>0</wp14:pctHeight>
          </wp14:sizeRelV>
        </wp:anchor>
      </w:drawing>
    </w:r>
    <w:r w:rsidRPr="00625F77">
      <w:rPr>
        <w:rFonts w:ascii="Arial" w:eastAsia="MS Mincho" w:hAnsi="Arial" w:cs="Arial"/>
        <w:b/>
        <w:color w:val="00AABE"/>
        <w:sz w:val="32"/>
        <w:szCs w:val="32"/>
      </w:rPr>
      <w:t>#IPU1</w:t>
    </w:r>
    <w:bookmarkEnd w:id="2"/>
    <w:bookmarkEnd w:id="3"/>
    <w:bookmarkEnd w:id="4"/>
    <w:bookmarkEnd w:id="5"/>
    <w:bookmarkEnd w:id="6"/>
    <w:bookmarkEnd w:id="7"/>
    <w:bookmarkEnd w:id="8"/>
    <w:bookmarkEnd w:id="9"/>
    <w:bookmarkEnd w:id="10"/>
    <w:bookmarkEnd w:id="11"/>
    <w:r w:rsidR="00664AFB" w:rsidRPr="00625F77">
      <w:rPr>
        <w:rFonts w:ascii="Arial" w:eastAsia="MS Mincho" w:hAnsi="Arial" w:cs="Arial"/>
        <w:b/>
        <w:color w:val="00AABE"/>
        <w:sz w:val="32"/>
        <w:szCs w:val="32"/>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5AC4" w14:textId="7FBAA9EC" w:rsidR="007B49E8" w:rsidRPr="00625F77" w:rsidRDefault="007B49E8" w:rsidP="007B49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C99D" w14:textId="77777777" w:rsidR="0008568C" w:rsidRPr="00625F77" w:rsidRDefault="0008568C" w:rsidP="00855326">
      <w:pPr>
        <w:spacing w:after="0" w:line="240" w:lineRule="auto"/>
      </w:pPr>
      <w:r w:rsidRPr="00625F77">
        <w:separator/>
      </w:r>
    </w:p>
  </w:footnote>
  <w:footnote w:type="continuationSeparator" w:id="0">
    <w:p w14:paraId="56115B9A" w14:textId="77777777" w:rsidR="0008568C" w:rsidRPr="00625F77" w:rsidRDefault="0008568C" w:rsidP="00855326">
      <w:pPr>
        <w:spacing w:after="0" w:line="240" w:lineRule="auto"/>
      </w:pPr>
      <w:r w:rsidRPr="00625F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9" w:type="dxa"/>
      <w:tblInd w:w="-567" w:type="dxa"/>
      <w:tblLayout w:type="fixed"/>
      <w:tblLook w:val="04A0" w:firstRow="1" w:lastRow="0" w:firstColumn="1" w:lastColumn="0" w:noHBand="0" w:noVBand="1"/>
    </w:tblPr>
    <w:tblGrid>
      <w:gridCol w:w="5170"/>
      <w:gridCol w:w="4689"/>
    </w:tblGrid>
    <w:tr w:rsidR="007C599E" w:rsidRPr="007C599E" w14:paraId="199D2414" w14:textId="77777777" w:rsidTr="0074452A">
      <w:trPr>
        <w:trHeight w:val="1831"/>
      </w:trPr>
      <w:tc>
        <w:tcPr>
          <w:tcW w:w="5170" w:type="dxa"/>
          <w:shd w:val="clear" w:color="auto" w:fill="auto"/>
        </w:tcPr>
        <w:p w14:paraId="545F24F1" w14:textId="77777777" w:rsidR="007C599E" w:rsidRPr="007C599E" w:rsidRDefault="007C599E" w:rsidP="007C599E">
          <w:pPr>
            <w:tabs>
              <w:tab w:val="left" w:pos="0"/>
              <w:tab w:val="center" w:pos="4320"/>
              <w:tab w:val="right" w:pos="8640"/>
            </w:tabs>
            <w:spacing w:after="0" w:line="240" w:lineRule="auto"/>
            <w:rPr>
              <w:rFonts w:ascii="Cambria" w:eastAsia="MS Mincho" w:hAnsi="Cambria" w:cs="Times New Roman"/>
              <w:sz w:val="24"/>
              <w:szCs w:val="24"/>
              <w:lang w:val="en-GB"/>
            </w:rPr>
          </w:pPr>
          <w:r w:rsidRPr="007C599E">
            <w:rPr>
              <w:rFonts w:ascii="Cambria" w:eastAsia="MS Mincho" w:hAnsi="Cambria" w:cs="Times New Roman"/>
              <w:noProof/>
              <w:sz w:val="24"/>
              <w:szCs w:val="24"/>
              <w:lang w:val="en-GB"/>
            </w:rPr>
            <w:drawing>
              <wp:inline distT="0" distB="0" distL="0" distR="0" wp14:anchorId="4B70F920" wp14:editId="48122FAB">
                <wp:extent cx="1469390" cy="1085215"/>
                <wp:effectExtent l="0" t="0" r="0" b="635"/>
                <wp:docPr id="1782663024" name="Image 1522495918"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59683" name="Image 253859683" descr="Une image contenant Police, logo,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85215"/>
                        </a:xfrm>
                        <a:prstGeom prst="rect">
                          <a:avLst/>
                        </a:prstGeom>
                        <a:noFill/>
                      </pic:spPr>
                    </pic:pic>
                  </a:graphicData>
                </a:graphic>
              </wp:inline>
            </w:drawing>
          </w:r>
        </w:p>
      </w:tc>
      <w:tc>
        <w:tcPr>
          <w:tcW w:w="4689" w:type="dxa"/>
          <w:shd w:val="clear" w:color="auto" w:fill="auto"/>
          <w:vAlign w:val="center"/>
        </w:tcPr>
        <w:p w14:paraId="6119108F" w14:textId="77777777" w:rsidR="007C599E" w:rsidRPr="007C599E" w:rsidRDefault="007C599E" w:rsidP="007C599E">
          <w:pPr>
            <w:tabs>
              <w:tab w:val="left" w:pos="-142"/>
              <w:tab w:val="left" w:pos="0"/>
            </w:tabs>
            <w:spacing w:after="0" w:line="240" w:lineRule="auto"/>
            <w:ind w:left="-570"/>
            <w:jc w:val="right"/>
            <w:rPr>
              <w:rFonts w:ascii="Arial" w:eastAsia="MS Mincho" w:hAnsi="Arial" w:cs="Arial"/>
              <w:color w:val="00979B"/>
              <w:sz w:val="32"/>
              <w:szCs w:val="32"/>
              <w:lang w:val="fr-CH"/>
            </w:rPr>
          </w:pPr>
          <w:r w:rsidRPr="007C599E">
            <w:rPr>
              <w:rFonts w:ascii="Arial" w:eastAsia="MS Mincho" w:hAnsi="Arial" w:cs="Arial"/>
              <w:noProof/>
              <w:color w:val="00979B"/>
              <w:sz w:val="32"/>
              <w:szCs w:val="32"/>
              <w:lang w:val="fr-CH"/>
            </w:rPr>
            <w:drawing>
              <wp:inline distT="0" distB="0" distL="0" distR="0" wp14:anchorId="7CBB944D" wp14:editId="43353E5D">
                <wp:extent cx="2451600" cy="889200"/>
                <wp:effectExtent l="0" t="0" r="6350" b="6350"/>
                <wp:docPr id="41203836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93253" name="Image 1" descr="Une image contenant texte, Police, logo, Graphique&#10;&#10;Description générée automatiquement"/>
                        <pic:cNvPicPr/>
                      </pic:nvPicPr>
                      <pic:blipFill rotWithShape="1">
                        <a:blip r:embed="rId2"/>
                        <a:srcRect r="2020"/>
                        <a:stretch/>
                      </pic:blipFill>
                      <pic:spPr bwMode="auto">
                        <a:xfrm>
                          <a:off x="0" y="0"/>
                          <a:ext cx="2451600" cy="889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C7DDCD9" w14:textId="77777777" w:rsidR="007C599E" w:rsidRPr="007C599E" w:rsidRDefault="007C599E" w:rsidP="007C599E">
    <w:pPr>
      <w:tabs>
        <w:tab w:val="left" w:pos="-142"/>
        <w:tab w:val="left" w:pos="0"/>
        <w:tab w:val="center" w:pos="4320"/>
      </w:tabs>
      <w:spacing w:after="0" w:line="240" w:lineRule="auto"/>
      <w:jc w:val="center"/>
      <w:rPr>
        <w:rFonts w:ascii="Arial" w:eastAsia="MS Mincho" w:hAnsi="Arial" w:cs="Arial"/>
        <w:color w:val="00AABE"/>
        <w:sz w:val="44"/>
        <w:szCs w:val="44"/>
        <w:lang w:val="fr-CH"/>
      </w:rPr>
    </w:pPr>
    <w:r w:rsidRPr="007C599E">
      <w:rPr>
        <w:rFonts w:ascii="Arial" w:eastAsia="MS Mincho" w:hAnsi="Arial" w:cs="Arial"/>
        <w:b/>
        <w:bCs/>
        <w:color w:val="00AABE"/>
        <w:sz w:val="44"/>
        <w:szCs w:val="44"/>
        <w:lang w:val="fr-CH"/>
      </w:rPr>
      <w:t>150</w:t>
    </w:r>
    <w:r w:rsidRPr="007C599E">
      <w:rPr>
        <w:rFonts w:ascii="Arial" w:eastAsia="MS Mincho" w:hAnsi="Arial" w:cs="Arial"/>
        <w:b/>
        <w:bCs/>
        <w:color w:val="00AABE"/>
        <w:sz w:val="44"/>
        <w:szCs w:val="44"/>
        <w:vertAlign w:val="superscript"/>
        <w:lang w:val="fr-CH"/>
      </w:rPr>
      <w:t>e</w:t>
    </w:r>
    <w:r w:rsidRPr="007C599E">
      <w:rPr>
        <w:rFonts w:ascii="Arial" w:eastAsia="MS Mincho" w:hAnsi="Arial" w:cs="Arial"/>
        <w:b/>
        <w:bCs/>
        <w:color w:val="00AABE"/>
        <w:sz w:val="44"/>
        <w:szCs w:val="44"/>
        <w:lang w:val="fr-CH"/>
      </w:rPr>
      <w:t xml:space="preserve"> Assemblée de l'UIP</w:t>
    </w:r>
  </w:p>
  <w:p w14:paraId="438E328B" w14:textId="77777777" w:rsidR="007C599E" w:rsidRPr="007C599E" w:rsidRDefault="007C599E" w:rsidP="007C599E">
    <w:pPr>
      <w:tabs>
        <w:tab w:val="left" w:pos="-142"/>
        <w:tab w:val="left" w:pos="0"/>
      </w:tabs>
      <w:autoSpaceDE w:val="0"/>
      <w:autoSpaceDN w:val="0"/>
      <w:adjustRightInd w:val="0"/>
      <w:spacing w:after="0" w:line="240" w:lineRule="auto"/>
      <w:ind w:left="172"/>
      <w:jc w:val="center"/>
      <w:rPr>
        <w:rFonts w:ascii="Arial" w:eastAsia="MS Mincho" w:hAnsi="Arial" w:cs="Arial"/>
        <w:b/>
        <w:bCs/>
        <w:color w:val="00AABE"/>
        <w:sz w:val="28"/>
        <w:szCs w:val="28"/>
        <w:lang w:val="fr-CH"/>
      </w:rPr>
    </w:pPr>
    <w:r w:rsidRPr="007C599E">
      <w:rPr>
        <w:rFonts w:ascii="Arial" w:eastAsia="MS Mincho" w:hAnsi="Arial" w:cs="Arial"/>
        <w:b/>
        <w:bCs/>
        <w:color w:val="00AABE"/>
        <w:sz w:val="32"/>
        <w:szCs w:val="32"/>
        <w:lang w:val="fr-CH"/>
      </w:rPr>
      <w:t>Tachkent, Ouzbékistan (5-9 avril 2025)</w:t>
    </w:r>
  </w:p>
  <w:p w14:paraId="24F006BF" w14:textId="77777777" w:rsidR="0099409A" w:rsidRPr="007C599E" w:rsidRDefault="0099409A" w:rsidP="007C599E">
    <w:pPr>
      <w:pStyle w:val="En-tt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68D2" w14:textId="352E5341" w:rsidR="007B49E8" w:rsidRPr="00625F77" w:rsidRDefault="007B49E8" w:rsidP="007B49E8">
    <w:pPr>
      <w:pStyle w:val="En-tte"/>
      <w:rPr>
        <w:rFonts w:ascii="Arial" w:hAnsi="Arial" w:cs="Arial"/>
        <w:sz w:val="20"/>
        <w:szCs w:val="20"/>
      </w:rPr>
    </w:pPr>
    <w:r w:rsidRPr="00625F77">
      <w:rPr>
        <w:rFonts w:ascii="Arial" w:hAnsi="Arial" w:cs="Arial"/>
        <w:sz w:val="20"/>
        <w:szCs w:val="20"/>
      </w:rPr>
      <w:tab/>
      <w:t xml:space="preserve">- </w:t>
    </w:r>
    <w:r w:rsidRPr="00625F77">
      <w:rPr>
        <w:rFonts w:ascii="Arial" w:hAnsi="Arial" w:cs="Arial"/>
        <w:sz w:val="20"/>
        <w:szCs w:val="20"/>
      </w:rPr>
      <w:fldChar w:fldCharType="begin"/>
    </w:r>
    <w:r w:rsidRPr="00625F77">
      <w:rPr>
        <w:rFonts w:ascii="Arial" w:hAnsi="Arial" w:cs="Arial"/>
        <w:sz w:val="20"/>
        <w:szCs w:val="20"/>
      </w:rPr>
      <w:instrText>PAGE   \* MERGEFORMAT</w:instrText>
    </w:r>
    <w:r w:rsidRPr="00625F77">
      <w:rPr>
        <w:rFonts w:ascii="Arial" w:hAnsi="Arial" w:cs="Arial"/>
        <w:sz w:val="20"/>
        <w:szCs w:val="20"/>
      </w:rPr>
      <w:fldChar w:fldCharType="separate"/>
    </w:r>
    <w:r w:rsidR="009F3BB5" w:rsidRPr="00625F77">
      <w:rPr>
        <w:rFonts w:ascii="Arial" w:hAnsi="Arial" w:cs="Arial"/>
        <w:sz w:val="20"/>
        <w:szCs w:val="20"/>
      </w:rPr>
      <w:t>6</w:t>
    </w:r>
    <w:r w:rsidRPr="00625F77">
      <w:rPr>
        <w:rFonts w:ascii="Arial" w:hAnsi="Arial" w:cs="Arial"/>
        <w:sz w:val="20"/>
        <w:szCs w:val="20"/>
      </w:rPr>
      <w:fldChar w:fldCharType="end"/>
    </w:r>
    <w:r w:rsidRPr="00625F77">
      <w:rPr>
        <w:rFonts w:ascii="Arial" w:hAnsi="Arial" w:cs="Arial"/>
        <w:sz w:val="20"/>
        <w:szCs w:val="20"/>
      </w:rPr>
      <w:t xml:space="preserve"> -</w:t>
    </w:r>
    <w:r w:rsidRPr="00625F77">
      <w:rPr>
        <w:rFonts w:ascii="Arial" w:hAnsi="Arial" w:cs="Arial"/>
        <w:sz w:val="20"/>
        <w:szCs w:val="20"/>
      </w:rPr>
      <w:tab/>
      <w:t>C-I/1</w:t>
    </w:r>
    <w:r w:rsidR="0030238F" w:rsidRPr="00625F77">
      <w:rPr>
        <w:rFonts w:ascii="Arial" w:hAnsi="Arial" w:cs="Arial"/>
        <w:sz w:val="20"/>
        <w:szCs w:val="20"/>
      </w:rPr>
      <w:t>50</w:t>
    </w:r>
    <w:r w:rsidRPr="00625F77">
      <w:rPr>
        <w:rFonts w:ascii="Arial" w:hAnsi="Arial" w:cs="Arial"/>
        <w:sz w:val="20"/>
        <w:szCs w:val="20"/>
      </w:rPr>
      <w:t>/DR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FE9"/>
    <w:multiLevelType w:val="hybridMultilevel"/>
    <w:tmpl w:val="AB8E16A2"/>
    <w:lvl w:ilvl="0" w:tplc="85FECF5C">
      <w:start w:val="1"/>
      <w:numFmt w:val="decimal"/>
      <w:lvlText w:val="%1."/>
      <w:lvlJc w:val="left"/>
      <w:pPr>
        <w:ind w:left="1808" w:hanging="361"/>
      </w:pPr>
      <w:rPr>
        <w:rFonts w:hint="default"/>
        <w:strike w:val="0"/>
        <w:color w:val="auto"/>
        <w:w w:val="100"/>
        <w:lang w:val="en-US" w:eastAsia="en-US" w:bidi="ar-SA"/>
      </w:rPr>
    </w:lvl>
    <w:lvl w:ilvl="1" w:tplc="6E6A529E">
      <w:numFmt w:val="bullet"/>
      <w:lvlText w:val="•"/>
      <w:lvlJc w:val="left"/>
      <w:pPr>
        <w:ind w:left="2778" w:hanging="361"/>
      </w:pPr>
      <w:rPr>
        <w:rFonts w:hint="default"/>
        <w:lang w:val="en-US" w:eastAsia="en-US" w:bidi="ar-SA"/>
      </w:rPr>
    </w:lvl>
    <w:lvl w:ilvl="2" w:tplc="FC1A1EDE">
      <w:numFmt w:val="bullet"/>
      <w:lvlText w:val="•"/>
      <w:lvlJc w:val="left"/>
      <w:pPr>
        <w:ind w:left="3756" w:hanging="361"/>
      </w:pPr>
      <w:rPr>
        <w:rFonts w:hint="default"/>
        <w:lang w:val="en-US" w:eastAsia="en-US" w:bidi="ar-SA"/>
      </w:rPr>
    </w:lvl>
    <w:lvl w:ilvl="3" w:tplc="9F40F66E">
      <w:numFmt w:val="bullet"/>
      <w:lvlText w:val="•"/>
      <w:lvlJc w:val="left"/>
      <w:pPr>
        <w:ind w:left="4734" w:hanging="361"/>
      </w:pPr>
      <w:rPr>
        <w:rFonts w:hint="default"/>
        <w:lang w:val="en-US" w:eastAsia="en-US" w:bidi="ar-SA"/>
      </w:rPr>
    </w:lvl>
    <w:lvl w:ilvl="4" w:tplc="64C0AE0C">
      <w:numFmt w:val="bullet"/>
      <w:lvlText w:val="•"/>
      <w:lvlJc w:val="left"/>
      <w:pPr>
        <w:ind w:left="5712" w:hanging="361"/>
      </w:pPr>
      <w:rPr>
        <w:rFonts w:hint="default"/>
        <w:lang w:val="en-US" w:eastAsia="en-US" w:bidi="ar-SA"/>
      </w:rPr>
    </w:lvl>
    <w:lvl w:ilvl="5" w:tplc="94E4819A">
      <w:numFmt w:val="bullet"/>
      <w:lvlText w:val="•"/>
      <w:lvlJc w:val="left"/>
      <w:pPr>
        <w:ind w:left="6690" w:hanging="361"/>
      </w:pPr>
      <w:rPr>
        <w:rFonts w:hint="default"/>
        <w:lang w:val="en-US" w:eastAsia="en-US" w:bidi="ar-SA"/>
      </w:rPr>
    </w:lvl>
    <w:lvl w:ilvl="6" w:tplc="6C488CB8">
      <w:numFmt w:val="bullet"/>
      <w:lvlText w:val="•"/>
      <w:lvlJc w:val="left"/>
      <w:pPr>
        <w:ind w:left="7668" w:hanging="361"/>
      </w:pPr>
      <w:rPr>
        <w:rFonts w:hint="default"/>
        <w:lang w:val="en-US" w:eastAsia="en-US" w:bidi="ar-SA"/>
      </w:rPr>
    </w:lvl>
    <w:lvl w:ilvl="7" w:tplc="10E8FCE4">
      <w:numFmt w:val="bullet"/>
      <w:lvlText w:val="•"/>
      <w:lvlJc w:val="left"/>
      <w:pPr>
        <w:ind w:left="8646" w:hanging="361"/>
      </w:pPr>
      <w:rPr>
        <w:rFonts w:hint="default"/>
        <w:lang w:val="en-US" w:eastAsia="en-US" w:bidi="ar-SA"/>
      </w:rPr>
    </w:lvl>
    <w:lvl w:ilvl="8" w:tplc="3F32B9FA">
      <w:numFmt w:val="bullet"/>
      <w:lvlText w:val="•"/>
      <w:lvlJc w:val="left"/>
      <w:pPr>
        <w:ind w:left="9624" w:hanging="361"/>
      </w:pPr>
      <w:rPr>
        <w:rFonts w:hint="default"/>
        <w:lang w:val="en-US" w:eastAsia="en-US" w:bidi="ar-SA"/>
      </w:rPr>
    </w:lvl>
  </w:abstractNum>
  <w:abstractNum w:abstractNumId="1" w15:restartNumberingAfterBreak="0">
    <w:nsid w:val="127C3FAF"/>
    <w:multiLevelType w:val="hybridMultilevel"/>
    <w:tmpl w:val="BE22AE20"/>
    <w:lvl w:ilvl="0" w:tplc="E5045FCE">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D690C8C"/>
    <w:multiLevelType w:val="hybridMultilevel"/>
    <w:tmpl w:val="E9B0B8D8"/>
    <w:lvl w:ilvl="0" w:tplc="AA66B2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DA791E"/>
    <w:multiLevelType w:val="hybridMultilevel"/>
    <w:tmpl w:val="94C49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66324A"/>
    <w:multiLevelType w:val="hybridMultilevel"/>
    <w:tmpl w:val="BBBA519A"/>
    <w:lvl w:ilvl="0" w:tplc="6570CF70">
      <w:start w:val="1"/>
      <w:numFmt w:val="decimal"/>
      <w:lvlText w:val="%1."/>
      <w:lvlJc w:val="left"/>
      <w:pPr>
        <w:ind w:left="786" w:hanging="360"/>
      </w:pPr>
      <w:rPr>
        <w:rFonts w:cs="Arial"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D093885"/>
    <w:multiLevelType w:val="hybridMultilevel"/>
    <w:tmpl w:val="EC82E1A4"/>
    <w:lvl w:ilvl="0" w:tplc="E6FAC732">
      <w:start w:val="8"/>
      <w:numFmt w:val="decimal"/>
      <w:lvlText w:val="%1."/>
      <w:lvlJc w:val="left"/>
      <w:pPr>
        <w:ind w:left="1070" w:hanging="360"/>
      </w:pPr>
      <w:rPr>
        <w:rFonts w:hint="default"/>
        <w:b w:val="0"/>
        <w:bCs w:val="0"/>
        <w:i w:val="0"/>
        <w:iCs w:val="0"/>
        <w:strike w:val="0"/>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F880896"/>
    <w:multiLevelType w:val="hybridMultilevel"/>
    <w:tmpl w:val="4F40A1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B07EB7"/>
    <w:multiLevelType w:val="multilevel"/>
    <w:tmpl w:val="E9480D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Georgia" w:eastAsiaTheme="minorHAnsi" w:hAnsi="Georgia"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E3EE2"/>
    <w:multiLevelType w:val="multilevel"/>
    <w:tmpl w:val="14902C98"/>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E04007"/>
    <w:multiLevelType w:val="hybridMultilevel"/>
    <w:tmpl w:val="57746DAA"/>
    <w:lvl w:ilvl="0" w:tplc="EEB09DFC">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41309793">
    <w:abstractNumId w:val="7"/>
  </w:num>
  <w:num w:numId="2" w16cid:durableId="575632235">
    <w:abstractNumId w:val="8"/>
  </w:num>
  <w:num w:numId="3" w16cid:durableId="191577221">
    <w:abstractNumId w:val="2"/>
  </w:num>
  <w:num w:numId="4" w16cid:durableId="889996296">
    <w:abstractNumId w:val="3"/>
  </w:num>
  <w:num w:numId="5" w16cid:durableId="424765406">
    <w:abstractNumId w:val="0"/>
  </w:num>
  <w:num w:numId="6" w16cid:durableId="2042784188">
    <w:abstractNumId w:val="4"/>
  </w:num>
  <w:num w:numId="7" w16cid:durableId="549154131">
    <w:abstractNumId w:val="5"/>
  </w:num>
  <w:num w:numId="8" w16cid:durableId="1922523668">
    <w:abstractNumId w:val="9"/>
  </w:num>
  <w:num w:numId="9" w16cid:durableId="1384214433">
    <w:abstractNumId w:val="1"/>
  </w:num>
  <w:num w:numId="10" w16cid:durableId="1839231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26"/>
    <w:rsid w:val="00004172"/>
    <w:rsid w:val="00011B13"/>
    <w:rsid w:val="000179F7"/>
    <w:rsid w:val="000346F2"/>
    <w:rsid w:val="00060785"/>
    <w:rsid w:val="00065C86"/>
    <w:rsid w:val="000733F0"/>
    <w:rsid w:val="00083114"/>
    <w:rsid w:val="0008568C"/>
    <w:rsid w:val="00094F56"/>
    <w:rsid w:val="000B563D"/>
    <w:rsid w:val="000D6788"/>
    <w:rsid w:val="000E6732"/>
    <w:rsid w:val="00112443"/>
    <w:rsid w:val="0011636A"/>
    <w:rsid w:val="00126885"/>
    <w:rsid w:val="001406BB"/>
    <w:rsid w:val="00144332"/>
    <w:rsid w:val="00144841"/>
    <w:rsid w:val="001457DB"/>
    <w:rsid w:val="00161295"/>
    <w:rsid w:val="00166DA1"/>
    <w:rsid w:val="00182BAB"/>
    <w:rsid w:val="001A578A"/>
    <w:rsid w:val="001A581C"/>
    <w:rsid w:val="001B11E9"/>
    <w:rsid w:val="001B14F3"/>
    <w:rsid w:val="001B6239"/>
    <w:rsid w:val="001B667E"/>
    <w:rsid w:val="0020034E"/>
    <w:rsid w:val="00205D6E"/>
    <w:rsid w:val="002119A7"/>
    <w:rsid w:val="00227F0E"/>
    <w:rsid w:val="0023036F"/>
    <w:rsid w:val="002320D4"/>
    <w:rsid w:val="002349E5"/>
    <w:rsid w:val="00247000"/>
    <w:rsid w:val="002676CB"/>
    <w:rsid w:val="002D38FF"/>
    <w:rsid w:val="002F449F"/>
    <w:rsid w:val="0030238F"/>
    <w:rsid w:val="00302EBE"/>
    <w:rsid w:val="00306626"/>
    <w:rsid w:val="0030676E"/>
    <w:rsid w:val="003131E6"/>
    <w:rsid w:val="0032688C"/>
    <w:rsid w:val="00365107"/>
    <w:rsid w:val="00371777"/>
    <w:rsid w:val="003720FA"/>
    <w:rsid w:val="003A6399"/>
    <w:rsid w:val="003D5FF2"/>
    <w:rsid w:val="00423160"/>
    <w:rsid w:val="0043639E"/>
    <w:rsid w:val="00436DD2"/>
    <w:rsid w:val="00442838"/>
    <w:rsid w:val="004767D3"/>
    <w:rsid w:val="004975FC"/>
    <w:rsid w:val="004D671A"/>
    <w:rsid w:val="004E39BE"/>
    <w:rsid w:val="004F117E"/>
    <w:rsid w:val="00502221"/>
    <w:rsid w:val="00535D43"/>
    <w:rsid w:val="00543D89"/>
    <w:rsid w:val="0055211C"/>
    <w:rsid w:val="00557C61"/>
    <w:rsid w:val="0057206E"/>
    <w:rsid w:val="00584411"/>
    <w:rsid w:val="005B2566"/>
    <w:rsid w:val="005B719F"/>
    <w:rsid w:val="005E3A00"/>
    <w:rsid w:val="00600698"/>
    <w:rsid w:val="00624D0A"/>
    <w:rsid w:val="00625F77"/>
    <w:rsid w:val="00643AAE"/>
    <w:rsid w:val="00656ECD"/>
    <w:rsid w:val="00664AFB"/>
    <w:rsid w:val="006C6F75"/>
    <w:rsid w:val="006F226D"/>
    <w:rsid w:val="0070189C"/>
    <w:rsid w:val="00740F1E"/>
    <w:rsid w:val="00744D93"/>
    <w:rsid w:val="00751D42"/>
    <w:rsid w:val="00765F99"/>
    <w:rsid w:val="00774EC5"/>
    <w:rsid w:val="007979B0"/>
    <w:rsid w:val="007A03B5"/>
    <w:rsid w:val="007A0E58"/>
    <w:rsid w:val="007B17DC"/>
    <w:rsid w:val="007B49E8"/>
    <w:rsid w:val="007C563F"/>
    <w:rsid w:val="007C599E"/>
    <w:rsid w:val="007E5B8E"/>
    <w:rsid w:val="007E7EE6"/>
    <w:rsid w:val="0080214A"/>
    <w:rsid w:val="00816F1F"/>
    <w:rsid w:val="00824281"/>
    <w:rsid w:val="00855326"/>
    <w:rsid w:val="00857DD5"/>
    <w:rsid w:val="00860B45"/>
    <w:rsid w:val="00882AF1"/>
    <w:rsid w:val="0089466E"/>
    <w:rsid w:val="008949EA"/>
    <w:rsid w:val="008C4456"/>
    <w:rsid w:val="008E02D9"/>
    <w:rsid w:val="008F1390"/>
    <w:rsid w:val="008F6D01"/>
    <w:rsid w:val="00901037"/>
    <w:rsid w:val="00920CD6"/>
    <w:rsid w:val="00936859"/>
    <w:rsid w:val="00936DAA"/>
    <w:rsid w:val="009413F5"/>
    <w:rsid w:val="009560A6"/>
    <w:rsid w:val="00960443"/>
    <w:rsid w:val="0097038B"/>
    <w:rsid w:val="00974390"/>
    <w:rsid w:val="00982A51"/>
    <w:rsid w:val="00990368"/>
    <w:rsid w:val="0099409A"/>
    <w:rsid w:val="009A5A19"/>
    <w:rsid w:val="009B1D00"/>
    <w:rsid w:val="009C0A5E"/>
    <w:rsid w:val="009E10E4"/>
    <w:rsid w:val="009F12AC"/>
    <w:rsid w:val="009F3BB5"/>
    <w:rsid w:val="00A014C1"/>
    <w:rsid w:val="00A136F0"/>
    <w:rsid w:val="00A145E4"/>
    <w:rsid w:val="00A3010A"/>
    <w:rsid w:val="00A44E26"/>
    <w:rsid w:val="00A667B6"/>
    <w:rsid w:val="00A67ECB"/>
    <w:rsid w:val="00AB62E8"/>
    <w:rsid w:val="00AD73B9"/>
    <w:rsid w:val="00AF0062"/>
    <w:rsid w:val="00AF53AC"/>
    <w:rsid w:val="00AF7C7D"/>
    <w:rsid w:val="00B04CD0"/>
    <w:rsid w:val="00B16339"/>
    <w:rsid w:val="00B21E18"/>
    <w:rsid w:val="00B3059B"/>
    <w:rsid w:val="00B41868"/>
    <w:rsid w:val="00B50785"/>
    <w:rsid w:val="00B823E3"/>
    <w:rsid w:val="00B85BAE"/>
    <w:rsid w:val="00B94115"/>
    <w:rsid w:val="00B94553"/>
    <w:rsid w:val="00BA000B"/>
    <w:rsid w:val="00BA03BA"/>
    <w:rsid w:val="00BB3611"/>
    <w:rsid w:val="00BC0E00"/>
    <w:rsid w:val="00BC2C15"/>
    <w:rsid w:val="00BC6460"/>
    <w:rsid w:val="00BF2CF6"/>
    <w:rsid w:val="00C13D04"/>
    <w:rsid w:val="00C30536"/>
    <w:rsid w:val="00C34C66"/>
    <w:rsid w:val="00C43167"/>
    <w:rsid w:val="00C43E3A"/>
    <w:rsid w:val="00C7332E"/>
    <w:rsid w:val="00C7707D"/>
    <w:rsid w:val="00C811D8"/>
    <w:rsid w:val="00CB557D"/>
    <w:rsid w:val="00CC10CA"/>
    <w:rsid w:val="00CE12D0"/>
    <w:rsid w:val="00CF79AD"/>
    <w:rsid w:val="00D06BC2"/>
    <w:rsid w:val="00D31992"/>
    <w:rsid w:val="00D37B39"/>
    <w:rsid w:val="00D46034"/>
    <w:rsid w:val="00D47C3B"/>
    <w:rsid w:val="00D557AF"/>
    <w:rsid w:val="00D7702C"/>
    <w:rsid w:val="00D770AF"/>
    <w:rsid w:val="00D857A5"/>
    <w:rsid w:val="00D90824"/>
    <w:rsid w:val="00DE1FA2"/>
    <w:rsid w:val="00E033BB"/>
    <w:rsid w:val="00E14A2D"/>
    <w:rsid w:val="00E216CF"/>
    <w:rsid w:val="00E231B3"/>
    <w:rsid w:val="00E261D9"/>
    <w:rsid w:val="00E27EB5"/>
    <w:rsid w:val="00E304D0"/>
    <w:rsid w:val="00E36951"/>
    <w:rsid w:val="00E430BA"/>
    <w:rsid w:val="00E51962"/>
    <w:rsid w:val="00EA10B3"/>
    <w:rsid w:val="00EA1E3B"/>
    <w:rsid w:val="00ED2E1A"/>
    <w:rsid w:val="00ED6285"/>
    <w:rsid w:val="00ED6B19"/>
    <w:rsid w:val="00EE0080"/>
    <w:rsid w:val="00EE3F80"/>
    <w:rsid w:val="00EF3AC4"/>
    <w:rsid w:val="00F13A06"/>
    <w:rsid w:val="00F2372D"/>
    <w:rsid w:val="00F27ACF"/>
    <w:rsid w:val="00F3169C"/>
    <w:rsid w:val="00F62215"/>
    <w:rsid w:val="00F649F1"/>
    <w:rsid w:val="00F74E7B"/>
    <w:rsid w:val="00F77C68"/>
    <w:rsid w:val="00F81E00"/>
    <w:rsid w:val="00F84E8C"/>
    <w:rsid w:val="00F86F69"/>
    <w:rsid w:val="00FB1D28"/>
    <w:rsid w:val="00FC148F"/>
    <w:rsid w:val="00FD7C7B"/>
    <w:rsid w:val="00FE34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867D"/>
  <w15:docId w15:val="{D21564AC-2A54-7D46-9EC2-D8C00822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FA"/>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53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lev">
    <w:name w:val="Strong"/>
    <w:basedOn w:val="Policepardfaut"/>
    <w:uiPriority w:val="22"/>
    <w:qFormat/>
    <w:rsid w:val="00855326"/>
    <w:rPr>
      <w:b/>
      <w:bCs/>
    </w:rPr>
  </w:style>
  <w:style w:type="paragraph" w:styleId="Paragraphedeliste">
    <w:name w:val="List Paragraph"/>
    <w:basedOn w:val="Normal"/>
    <w:uiPriority w:val="34"/>
    <w:qFormat/>
    <w:rsid w:val="00855326"/>
    <w:pPr>
      <w:spacing w:after="160" w:line="259" w:lineRule="auto"/>
      <w:ind w:left="720"/>
      <w:contextualSpacing/>
    </w:pPr>
    <w:rPr>
      <w:rFonts w:eastAsiaTheme="minorHAnsi"/>
      <w:kern w:val="2"/>
      <w:lang w:val="en-IN"/>
    </w:rPr>
  </w:style>
  <w:style w:type="character" w:styleId="Marquedecommentaire">
    <w:name w:val="annotation reference"/>
    <w:basedOn w:val="Policepardfaut"/>
    <w:uiPriority w:val="99"/>
    <w:semiHidden/>
    <w:unhideWhenUsed/>
    <w:rsid w:val="00855326"/>
    <w:rPr>
      <w:sz w:val="16"/>
      <w:szCs w:val="16"/>
    </w:rPr>
  </w:style>
  <w:style w:type="paragraph" w:styleId="Commentaire">
    <w:name w:val="annotation text"/>
    <w:basedOn w:val="Normal"/>
    <w:link w:val="CommentaireCar"/>
    <w:uiPriority w:val="99"/>
    <w:unhideWhenUsed/>
    <w:rsid w:val="00855326"/>
    <w:pPr>
      <w:spacing w:after="160" w:line="240" w:lineRule="auto"/>
    </w:pPr>
    <w:rPr>
      <w:rFonts w:eastAsiaTheme="minorHAnsi"/>
      <w:kern w:val="2"/>
      <w:sz w:val="20"/>
      <w:szCs w:val="20"/>
      <w:lang w:val="en-IN"/>
    </w:rPr>
  </w:style>
  <w:style w:type="character" w:customStyle="1" w:styleId="CommentaireCar">
    <w:name w:val="Commentaire Car"/>
    <w:basedOn w:val="Policepardfaut"/>
    <w:link w:val="Commentaire"/>
    <w:uiPriority w:val="99"/>
    <w:rsid w:val="00855326"/>
    <w:rPr>
      <w:rFonts w:eastAsiaTheme="minorHAnsi"/>
      <w:kern w:val="2"/>
      <w:sz w:val="20"/>
      <w:szCs w:val="20"/>
      <w:lang w:val="en-IN"/>
    </w:rPr>
  </w:style>
  <w:style w:type="paragraph" w:styleId="Textedebulles">
    <w:name w:val="Balloon Text"/>
    <w:basedOn w:val="Normal"/>
    <w:link w:val="TextedebullesCar"/>
    <w:uiPriority w:val="99"/>
    <w:semiHidden/>
    <w:unhideWhenUsed/>
    <w:rsid w:val="008553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326"/>
    <w:rPr>
      <w:rFonts w:ascii="Tahoma" w:hAnsi="Tahoma" w:cs="Tahoma"/>
      <w:sz w:val="16"/>
      <w:szCs w:val="16"/>
    </w:rPr>
  </w:style>
  <w:style w:type="paragraph" w:styleId="En-tte">
    <w:name w:val="header"/>
    <w:basedOn w:val="Normal"/>
    <w:link w:val="En-tteCar"/>
    <w:uiPriority w:val="99"/>
    <w:unhideWhenUsed/>
    <w:rsid w:val="00855326"/>
    <w:pPr>
      <w:tabs>
        <w:tab w:val="center" w:pos="4680"/>
        <w:tab w:val="right" w:pos="9360"/>
      </w:tabs>
      <w:spacing w:after="0" w:line="240" w:lineRule="auto"/>
    </w:pPr>
  </w:style>
  <w:style w:type="character" w:customStyle="1" w:styleId="En-tteCar">
    <w:name w:val="En-tête Car"/>
    <w:basedOn w:val="Policepardfaut"/>
    <w:link w:val="En-tte"/>
    <w:uiPriority w:val="99"/>
    <w:rsid w:val="00855326"/>
  </w:style>
  <w:style w:type="paragraph" w:styleId="Pieddepage">
    <w:name w:val="footer"/>
    <w:basedOn w:val="Normal"/>
    <w:link w:val="PieddepageCar"/>
    <w:uiPriority w:val="99"/>
    <w:unhideWhenUsed/>
    <w:rsid w:val="0085532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55326"/>
  </w:style>
  <w:style w:type="character" w:styleId="Accentuation">
    <w:name w:val="Emphasis"/>
    <w:basedOn w:val="Policepardfaut"/>
    <w:uiPriority w:val="20"/>
    <w:qFormat/>
    <w:rsid w:val="00D37B39"/>
    <w:rPr>
      <w:i/>
      <w:iCs/>
    </w:rPr>
  </w:style>
  <w:style w:type="paragraph" w:styleId="Corpsdetexte">
    <w:name w:val="Body Text"/>
    <w:basedOn w:val="Normal"/>
    <w:link w:val="CorpsdetexteCar"/>
    <w:uiPriority w:val="1"/>
    <w:qFormat/>
    <w:rsid w:val="0057206E"/>
    <w:pPr>
      <w:widowControl w:val="0"/>
      <w:autoSpaceDE w:val="0"/>
      <w:autoSpaceDN w:val="0"/>
      <w:spacing w:after="0" w:line="240" w:lineRule="auto"/>
    </w:pPr>
    <w:rPr>
      <w:rFonts w:ascii="Arial MT" w:eastAsia="Arial MT" w:hAnsi="Arial MT" w:cs="Arial MT"/>
      <w:sz w:val="24"/>
      <w:szCs w:val="24"/>
    </w:rPr>
  </w:style>
  <w:style w:type="character" w:customStyle="1" w:styleId="CorpsdetexteCar">
    <w:name w:val="Corps de texte Car"/>
    <w:basedOn w:val="Policepardfaut"/>
    <w:link w:val="Corpsdetexte"/>
    <w:uiPriority w:val="1"/>
    <w:rsid w:val="0057206E"/>
    <w:rPr>
      <w:rFonts w:ascii="Arial MT" w:eastAsia="Arial MT" w:hAnsi="Arial MT" w:cs="Arial MT"/>
      <w:sz w:val="24"/>
      <w:szCs w:val="24"/>
    </w:rPr>
  </w:style>
  <w:style w:type="paragraph" w:styleId="Rvision">
    <w:name w:val="Revision"/>
    <w:hidden/>
    <w:uiPriority w:val="99"/>
    <w:semiHidden/>
    <w:rsid w:val="00FB1D28"/>
    <w:pPr>
      <w:spacing w:after="0" w:line="240" w:lineRule="auto"/>
    </w:pPr>
  </w:style>
  <w:style w:type="paragraph" w:styleId="Objetducommentaire">
    <w:name w:val="annotation subject"/>
    <w:basedOn w:val="Commentaire"/>
    <w:next w:val="Commentaire"/>
    <w:link w:val="ObjetducommentaireCar"/>
    <w:uiPriority w:val="99"/>
    <w:semiHidden/>
    <w:unhideWhenUsed/>
    <w:rsid w:val="00857DD5"/>
    <w:pPr>
      <w:spacing w:after="200"/>
    </w:pPr>
    <w:rPr>
      <w:rFonts w:eastAsiaTheme="minorEastAsia"/>
      <w:b/>
      <w:bCs/>
      <w:kern w:val="0"/>
      <w:lang w:val="en-US"/>
    </w:rPr>
  </w:style>
  <w:style w:type="character" w:customStyle="1" w:styleId="ObjetducommentaireCar">
    <w:name w:val="Objet du commentaire Car"/>
    <w:basedOn w:val="CommentaireCar"/>
    <w:link w:val="Objetducommentaire"/>
    <w:uiPriority w:val="99"/>
    <w:semiHidden/>
    <w:rsid w:val="00857DD5"/>
    <w:rPr>
      <w:rFonts w:eastAsiaTheme="minorHAnsi"/>
      <w:b/>
      <w:bCs/>
      <w:kern w:val="2"/>
      <w:sz w:val="20"/>
      <w:szCs w:val="20"/>
      <w:lang w:val="en-IN"/>
    </w:rPr>
  </w:style>
  <w:style w:type="paragraph" w:styleId="Notedebasdepage">
    <w:name w:val="footnote text"/>
    <w:basedOn w:val="Normal"/>
    <w:link w:val="NotedebasdepageCar"/>
    <w:uiPriority w:val="99"/>
    <w:semiHidden/>
    <w:unhideWhenUsed/>
    <w:rsid w:val="00302E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2EBE"/>
    <w:rPr>
      <w:sz w:val="20"/>
      <w:szCs w:val="20"/>
    </w:rPr>
  </w:style>
  <w:style w:type="character" w:styleId="Appelnotedebasdep">
    <w:name w:val="footnote reference"/>
    <w:basedOn w:val="Policepardfaut"/>
    <w:uiPriority w:val="99"/>
    <w:semiHidden/>
    <w:unhideWhenUsed/>
    <w:rsid w:val="00302EBE"/>
    <w:rPr>
      <w:vertAlign w:val="superscript"/>
    </w:rPr>
  </w:style>
  <w:style w:type="paragraph" w:customStyle="1" w:styleId="Default">
    <w:name w:val="Default"/>
    <w:rsid w:val="0099409A"/>
    <w:pPr>
      <w:autoSpaceDE w:val="0"/>
      <w:autoSpaceDN w:val="0"/>
      <w:adjustRightInd w:val="0"/>
      <w:spacing w:after="0" w:line="240" w:lineRule="auto"/>
    </w:pPr>
    <w:rPr>
      <w:rFonts w:ascii="Times New Roman" w:eastAsiaTheme="minorHAnsi" w:hAnsi="Times New Roman" w:cs="Times New Roman"/>
      <w:color w:val="000000"/>
      <w:sz w:val="24"/>
      <w:szCs w:val="24"/>
      <w:lang w:val="de-DE"/>
    </w:rPr>
  </w:style>
  <w:style w:type="character" w:styleId="Lienhypertexte">
    <w:name w:val="Hyperlink"/>
    <w:uiPriority w:val="99"/>
    <w:unhideWhenUsed/>
    <w:rsid w:val="0020034E"/>
    <w:rPr>
      <w:color w:val="0000FF"/>
      <w:u w:val="single"/>
      <w:lang w:val="fr-FR" w:eastAsia="fr-FR"/>
    </w:rPr>
  </w:style>
  <w:style w:type="character" w:styleId="Lienhypertextesuivivisit">
    <w:name w:val="FollowedHyperlink"/>
    <w:basedOn w:val="Policepardfaut"/>
    <w:uiPriority w:val="99"/>
    <w:semiHidden/>
    <w:unhideWhenUsed/>
    <w:rsid w:val="00625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9963">
      <w:bodyDiv w:val="1"/>
      <w:marLeft w:val="0"/>
      <w:marRight w:val="0"/>
      <w:marTop w:val="0"/>
      <w:marBottom w:val="0"/>
      <w:divBdr>
        <w:top w:val="none" w:sz="0" w:space="0" w:color="auto"/>
        <w:left w:val="none" w:sz="0" w:space="0" w:color="auto"/>
        <w:bottom w:val="none" w:sz="0" w:space="0" w:color="auto"/>
        <w:right w:val="none" w:sz="0" w:space="0" w:color="auto"/>
      </w:divBdr>
    </w:div>
    <w:div w:id="695236709">
      <w:bodyDiv w:val="1"/>
      <w:marLeft w:val="0"/>
      <w:marRight w:val="0"/>
      <w:marTop w:val="0"/>
      <w:marBottom w:val="0"/>
      <w:divBdr>
        <w:top w:val="none" w:sz="0" w:space="0" w:color="auto"/>
        <w:left w:val="none" w:sz="0" w:space="0" w:color="auto"/>
        <w:bottom w:val="none" w:sz="0" w:space="0" w:color="auto"/>
        <w:right w:val="none" w:sz="0" w:space="0" w:color="auto"/>
      </w:divBdr>
    </w:div>
    <w:div w:id="18275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S/RES/1397(2002)" TargetMode="External"/><Relationship Id="rId18" Type="http://schemas.openxmlformats.org/officeDocument/2006/relationships/hyperlink" Target="https://undocs.org/A/RES/58/29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docs.org/A/RES/79/81" TargetMode="External"/><Relationship Id="rId7" Type="http://schemas.openxmlformats.org/officeDocument/2006/relationships/settings" Target="settings.xml"/><Relationship Id="rId12" Type="http://schemas.openxmlformats.org/officeDocument/2006/relationships/hyperlink" Target="https://undocs.org/S/RES/338(1973)" TargetMode="External"/><Relationship Id="rId17" Type="http://schemas.openxmlformats.org/officeDocument/2006/relationships/hyperlink" Target="https://undocs.org/A/RES/194(II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docs.org/A/RES/181(II)" TargetMode="External"/><Relationship Id="rId20" Type="http://schemas.openxmlformats.org/officeDocument/2006/relationships/hyperlink" Target="https://undocs.org/A/RES/73/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S/RES/242(1967)"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undocs.org/S/RES/2334(201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ocs.org/A/RES/67/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S/RES/1515(2003)"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DB125-35A5-409D-9FAD-5573ACB72098}">
  <ds:schemaRefs>
    <ds:schemaRef ds:uri="http://schemas.microsoft.com/sharepoint/v3/contenttype/forms"/>
  </ds:schemaRefs>
</ds:datastoreItem>
</file>

<file path=customXml/itemProps2.xml><?xml version="1.0" encoding="utf-8"?>
<ds:datastoreItem xmlns:ds="http://schemas.openxmlformats.org/officeDocument/2006/customXml" ds:itemID="{90668E8A-4AA4-4BE4-8FA6-14722EAA49FE}">
  <ds:schemaRefs>
    <ds:schemaRef ds:uri="http://schemas.openxmlformats.org/officeDocument/2006/bibliography"/>
  </ds:schemaRefs>
</ds:datastoreItem>
</file>

<file path=customXml/itemProps3.xml><?xml version="1.0" encoding="utf-8"?>
<ds:datastoreItem xmlns:ds="http://schemas.openxmlformats.org/officeDocument/2006/customXml" ds:itemID="{06BE6A3F-2650-474B-BAB7-9D54DD2B7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8C0F3-4702-4790-8F80-EED8329DB2CC}">
  <ds:schemaRefs>
    <ds:schemaRef ds:uri="http://schemas.microsoft.com/office/infopath/2007/PartnerControls"/>
    <ds:schemaRef ds:uri="793d8a23-fb4a-404c-8f20-5db9a0662cc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2194</Words>
  <Characters>12069</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Emilie Vulpillière</cp:lastModifiedBy>
  <cp:revision>98</cp:revision>
  <cp:lastPrinted>2025-01-10T13:48:00Z</cp:lastPrinted>
  <dcterms:created xsi:type="dcterms:W3CDTF">2024-01-15T08:55:00Z</dcterms:created>
  <dcterms:modified xsi:type="dcterms:W3CDTF">2025-01-14T10:49:00Z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